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9B499" w14:textId="607FBAB9" w:rsidR="0032342E" w:rsidRPr="00B01709" w:rsidRDefault="00B01709" w:rsidP="00B01709">
      <w:pPr>
        <w:pStyle w:val="Heading2"/>
        <w:keepNext w:val="0"/>
        <w:spacing w:before="120" w:after="0" w:line="360" w:lineRule="atLeast"/>
        <w:jc w:val="center"/>
        <w:rPr>
          <w:rFonts w:eastAsia="Georgia"/>
          <w:sz w:val="22"/>
          <w:szCs w:val="22"/>
          <w:lang w:val="en" w:eastAsia="en"/>
        </w:rPr>
      </w:pPr>
      <w:bookmarkStart w:id="0" w:name="_GoBack"/>
      <w:bookmarkEnd w:id="0"/>
      <w:r w:rsidRPr="00B01709">
        <w:rPr>
          <w:rFonts w:eastAsia="Georgia"/>
          <w:i w:val="0"/>
          <w:iCs w:val="0"/>
          <w:sz w:val="22"/>
          <w:szCs w:val="22"/>
          <w:lang w:val="en" w:eastAsia="en"/>
        </w:rPr>
        <w:t>NOTTING HILL MEDICAL PRACTICE PATIENT PRIVACY NOTICE</w:t>
      </w:r>
    </w:p>
    <w:p w14:paraId="1463DC04" w14:textId="2F3A2B47" w:rsidR="00FF3C35" w:rsidRPr="00B01709" w:rsidRDefault="00D24EC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Any reference in this privacy notice to “</w:t>
      </w:r>
      <w:r w:rsidRPr="00B01709">
        <w:rPr>
          <w:rFonts w:ascii="Arial" w:eastAsia="Verdana" w:hAnsi="Arial" w:cs="Arial"/>
          <w:b/>
          <w:bCs/>
          <w:sz w:val="22"/>
          <w:szCs w:val="22"/>
          <w:lang w:val="en" w:eastAsia="en"/>
        </w:rPr>
        <w:t>we</w:t>
      </w:r>
      <w:r w:rsidRPr="00B01709">
        <w:rPr>
          <w:rFonts w:ascii="Arial" w:eastAsia="Verdana" w:hAnsi="Arial" w:cs="Arial"/>
          <w:sz w:val="22"/>
          <w:szCs w:val="22"/>
          <w:lang w:val="en" w:eastAsia="en"/>
        </w:rPr>
        <w:t>”, “</w:t>
      </w:r>
      <w:r w:rsidRPr="00B01709">
        <w:rPr>
          <w:rFonts w:ascii="Arial" w:eastAsia="Verdana" w:hAnsi="Arial" w:cs="Arial"/>
          <w:b/>
          <w:bCs/>
          <w:sz w:val="22"/>
          <w:szCs w:val="22"/>
          <w:lang w:val="en" w:eastAsia="en"/>
        </w:rPr>
        <w:t>us</w:t>
      </w:r>
      <w:r w:rsidRPr="00B01709">
        <w:rPr>
          <w:rFonts w:ascii="Arial" w:eastAsia="Verdana" w:hAnsi="Arial" w:cs="Arial"/>
          <w:sz w:val="22"/>
          <w:szCs w:val="22"/>
          <w:lang w:val="en" w:eastAsia="en"/>
        </w:rPr>
        <w:t>” or the “</w:t>
      </w:r>
      <w:r w:rsidRPr="00B01709">
        <w:rPr>
          <w:rFonts w:ascii="Arial" w:eastAsia="Verdana" w:hAnsi="Arial" w:cs="Arial"/>
          <w:b/>
          <w:bCs/>
          <w:sz w:val="22"/>
          <w:szCs w:val="22"/>
          <w:lang w:val="en" w:eastAsia="en"/>
        </w:rPr>
        <w:t>Practice</w:t>
      </w:r>
      <w:r w:rsidRPr="00B01709">
        <w:rPr>
          <w:rFonts w:ascii="Arial" w:eastAsia="Verdana" w:hAnsi="Arial" w:cs="Arial"/>
          <w:sz w:val="22"/>
          <w:szCs w:val="22"/>
          <w:lang w:val="en" w:eastAsia="en"/>
        </w:rPr>
        <w:t xml:space="preserve">” shall be in reference to Notting Hill Medical Practice. We </w:t>
      </w:r>
      <w:r w:rsidR="008E20CC" w:rsidRPr="00B01709">
        <w:rPr>
          <w:rFonts w:ascii="Arial" w:eastAsia="Verdana" w:hAnsi="Arial" w:cs="Arial"/>
          <w:sz w:val="22"/>
          <w:szCs w:val="22"/>
          <w:lang w:val="en" w:eastAsia="en"/>
        </w:rPr>
        <w:t>ha</w:t>
      </w:r>
      <w:r w:rsidRPr="00B01709">
        <w:rPr>
          <w:rFonts w:ascii="Arial" w:eastAsia="Verdana" w:hAnsi="Arial" w:cs="Arial"/>
          <w:sz w:val="22"/>
          <w:szCs w:val="22"/>
          <w:lang w:val="en" w:eastAsia="en"/>
        </w:rPr>
        <w:t>ve</w:t>
      </w:r>
      <w:r w:rsidR="008E20CC" w:rsidRPr="00B01709">
        <w:rPr>
          <w:rFonts w:ascii="Arial" w:eastAsia="Verdana" w:hAnsi="Arial" w:cs="Arial"/>
          <w:sz w:val="22"/>
          <w:szCs w:val="22"/>
          <w:lang w:val="en" w:eastAsia="en"/>
        </w:rPr>
        <w:t xml:space="preserve"> a legal duty to explain how we use any personal information we collect about you, as a registered patient at the practice. </w:t>
      </w:r>
      <w:r w:rsidR="00052605" w:rsidRPr="00B01709">
        <w:rPr>
          <w:rFonts w:ascii="Arial" w:eastAsia="Verdana" w:hAnsi="Arial" w:cs="Arial"/>
          <w:sz w:val="22"/>
          <w:szCs w:val="22"/>
          <w:lang w:val="en" w:eastAsia="en"/>
        </w:rPr>
        <w:t>This privacy notice tells you what to expect us to do with your personal information.</w:t>
      </w:r>
      <w:bookmarkStart w:id="1" w:name="contact"/>
      <w:bookmarkEnd w:id="1"/>
      <w:r w:rsidR="008E20CC" w:rsidRPr="00B01709">
        <w:rPr>
          <w:rFonts w:ascii="Arial" w:eastAsia="Verdana" w:hAnsi="Arial" w:cs="Arial"/>
          <w:sz w:val="22"/>
          <w:szCs w:val="22"/>
          <w:lang w:val="en" w:eastAsia="en"/>
        </w:rPr>
        <w:t xml:space="preserve"> </w:t>
      </w:r>
    </w:p>
    <w:p w14:paraId="46C223E9" w14:textId="16CCC80B" w:rsidR="00FF3C35" w:rsidRPr="00B01709" w:rsidRDefault="00B01709" w:rsidP="00B01709">
      <w:pPr>
        <w:pStyle w:val="Heading2"/>
        <w:keepNext w:val="0"/>
        <w:spacing w:before="120" w:after="0" w:line="360" w:lineRule="atLeast"/>
        <w:jc w:val="both"/>
        <w:rPr>
          <w:rFonts w:eastAsia="Georgia"/>
          <w:sz w:val="22"/>
          <w:szCs w:val="22"/>
          <w:lang w:val="en" w:eastAsia="en"/>
        </w:rPr>
      </w:pPr>
      <w:r w:rsidRPr="00B01709">
        <w:rPr>
          <w:rFonts w:eastAsia="Georgia"/>
          <w:i w:val="0"/>
          <w:iCs w:val="0"/>
          <w:sz w:val="22"/>
          <w:szCs w:val="22"/>
          <w:lang w:val="en" w:eastAsia="en"/>
        </w:rPr>
        <w:t>CONTACT DETAILS</w:t>
      </w:r>
    </w:p>
    <w:p w14:paraId="7C07B90C" w14:textId="55FC2FC9" w:rsidR="0032342E" w:rsidRPr="00B01709" w:rsidRDefault="00052605" w:rsidP="00B01709">
      <w:pPr>
        <w:pStyle w:val="Heading3"/>
        <w:keepNext w:val="0"/>
        <w:spacing w:before="120" w:after="0" w:line="360" w:lineRule="atLeast"/>
        <w:jc w:val="both"/>
        <w:rPr>
          <w:rFonts w:eastAsia="Georgia"/>
          <w:sz w:val="22"/>
          <w:szCs w:val="22"/>
          <w:lang w:val="en" w:eastAsia="en"/>
        </w:rPr>
      </w:pPr>
      <w:r w:rsidRPr="00B01709">
        <w:rPr>
          <w:rFonts w:eastAsia="Georgia"/>
          <w:sz w:val="22"/>
          <w:szCs w:val="22"/>
          <w:lang w:val="en" w:eastAsia="en"/>
        </w:rPr>
        <w:t>Post</w:t>
      </w:r>
    </w:p>
    <w:p w14:paraId="12600F84" w14:textId="2067DAD5"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Notting Hill Medical Practice, 95 Doagh Road, N</w:t>
      </w:r>
      <w:r w:rsidR="00D53951" w:rsidRPr="00B01709">
        <w:rPr>
          <w:rFonts w:ascii="Arial" w:eastAsia="Verdana" w:hAnsi="Arial" w:cs="Arial"/>
          <w:sz w:val="22"/>
          <w:szCs w:val="22"/>
          <w:lang w:val="en" w:eastAsia="en"/>
        </w:rPr>
        <w:t>ewtownabbey</w:t>
      </w:r>
      <w:r w:rsidRPr="00B01709">
        <w:rPr>
          <w:rFonts w:ascii="Arial" w:eastAsia="Verdana" w:hAnsi="Arial" w:cs="Arial"/>
          <w:sz w:val="22"/>
          <w:szCs w:val="22"/>
          <w:lang w:val="en" w:eastAsia="en"/>
        </w:rPr>
        <w:t xml:space="preserve">, County Antrim, BT37 9QN, </w:t>
      </w:r>
      <w:r w:rsidR="009B5AD4" w:rsidRPr="00B01709">
        <w:rPr>
          <w:rFonts w:ascii="Arial" w:eastAsia="Verdana" w:hAnsi="Arial" w:cs="Arial"/>
          <w:sz w:val="22"/>
          <w:szCs w:val="22"/>
          <w:lang w:val="en" w:eastAsia="en"/>
        </w:rPr>
        <w:t>Northern Ireland</w:t>
      </w:r>
    </w:p>
    <w:p w14:paraId="3C61BAA7" w14:textId="20E87F15" w:rsidR="0032342E" w:rsidRPr="00B01709" w:rsidRDefault="00052605" w:rsidP="00B01709">
      <w:pPr>
        <w:pStyle w:val="Heading3"/>
        <w:keepNext w:val="0"/>
        <w:spacing w:before="120" w:after="0" w:line="360" w:lineRule="atLeast"/>
        <w:jc w:val="both"/>
        <w:rPr>
          <w:rFonts w:eastAsia="Georgia"/>
          <w:sz w:val="22"/>
          <w:szCs w:val="22"/>
          <w:lang w:val="en" w:eastAsia="en"/>
        </w:rPr>
      </w:pPr>
      <w:r w:rsidRPr="00B01709">
        <w:rPr>
          <w:rFonts w:eastAsia="Georgia"/>
          <w:sz w:val="22"/>
          <w:szCs w:val="22"/>
          <w:lang w:val="en" w:eastAsia="en"/>
        </w:rPr>
        <w:t>Telephone</w:t>
      </w:r>
    </w:p>
    <w:p w14:paraId="50B38EC1" w14:textId="164CEE8A"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028 9080 8200</w:t>
      </w:r>
    </w:p>
    <w:p w14:paraId="1BD731F1" w14:textId="5B51731F" w:rsidR="000813E2" w:rsidRPr="00F45CDC" w:rsidRDefault="00D53951" w:rsidP="00F45CDC">
      <w:pPr>
        <w:pStyle w:val="Heading3"/>
        <w:keepNext w:val="0"/>
        <w:spacing w:before="120" w:after="0" w:line="360" w:lineRule="atLeast"/>
        <w:jc w:val="both"/>
        <w:rPr>
          <w:rFonts w:eastAsia="Georgia"/>
          <w:sz w:val="22"/>
          <w:szCs w:val="22"/>
          <w:lang w:val="en" w:eastAsia="en"/>
        </w:rPr>
      </w:pPr>
      <w:r w:rsidRPr="00B01709">
        <w:rPr>
          <w:rFonts w:eastAsia="Georgia"/>
          <w:sz w:val="22"/>
          <w:szCs w:val="22"/>
          <w:lang w:val="en" w:eastAsia="en"/>
        </w:rPr>
        <w:t>Email</w:t>
      </w:r>
    </w:p>
    <w:p w14:paraId="348F9C04" w14:textId="4C1CACD7" w:rsidR="000813E2" w:rsidRPr="00AA1FD8" w:rsidRDefault="00C7116B" w:rsidP="00F45CDC">
      <w:pPr>
        <w:spacing w:before="120"/>
        <w:rPr>
          <w:rFonts w:eastAsia="Georgia"/>
          <w:sz w:val="22"/>
          <w:szCs w:val="22"/>
          <w:lang w:val="en" w:eastAsia="en"/>
        </w:rPr>
      </w:pPr>
      <w:hyperlink r:id="rId5" w:history="1">
        <w:r w:rsidR="000813E2" w:rsidRPr="00F45CDC">
          <w:rPr>
            <w:rFonts w:ascii="Arial" w:hAnsi="Arial" w:cs="Arial"/>
            <w:color w:val="0000FF"/>
            <w:sz w:val="22"/>
            <w:szCs w:val="22"/>
            <w:u w:val="single"/>
          </w:rPr>
          <w:t>reception.z00440@gp.hscni.net</w:t>
        </w:r>
      </w:hyperlink>
    </w:p>
    <w:p w14:paraId="49C42049" w14:textId="3D5A66D3" w:rsidR="00705E53" w:rsidRPr="00B01709" w:rsidRDefault="00B01709" w:rsidP="00B01709">
      <w:pPr>
        <w:pStyle w:val="Heading2"/>
        <w:keepNext w:val="0"/>
        <w:spacing w:before="120" w:after="0" w:line="360" w:lineRule="atLeast"/>
        <w:jc w:val="both"/>
        <w:rPr>
          <w:rFonts w:eastAsia="Georgia"/>
          <w:i w:val="0"/>
          <w:iCs w:val="0"/>
          <w:sz w:val="22"/>
          <w:szCs w:val="22"/>
          <w:lang w:val="en" w:eastAsia="en"/>
        </w:rPr>
      </w:pPr>
      <w:bookmarkStart w:id="2" w:name="collect"/>
      <w:bookmarkEnd w:id="2"/>
      <w:r w:rsidRPr="00B01709">
        <w:rPr>
          <w:rFonts w:eastAsia="Georgia"/>
          <w:i w:val="0"/>
          <w:iCs w:val="0"/>
          <w:sz w:val="22"/>
          <w:szCs w:val="22"/>
          <w:lang w:val="en" w:eastAsia="en"/>
        </w:rPr>
        <w:t>WHY DO WE COLLECT AND USE YOUR INFORMATION?</w:t>
      </w:r>
    </w:p>
    <w:p w14:paraId="7B65DD2D" w14:textId="037A341C" w:rsidR="009B5AD4" w:rsidRPr="00B01709" w:rsidRDefault="00FA6FB0" w:rsidP="00B01709">
      <w:pPr>
        <w:pStyle w:val="Heading2"/>
        <w:keepNext w:val="0"/>
        <w:spacing w:before="120" w:after="0" w:line="360" w:lineRule="atLeast"/>
        <w:jc w:val="both"/>
        <w:rPr>
          <w:rFonts w:eastAsia="Georgia"/>
          <w:b w:val="0"/>
          <w:bCs w:val="0"/>
          <w:i w:val="0"/>
          <w:iCs w:val="0"/>
          <w:sz w:val="22"/>
          <w:szCs w:val="22"/>
          <w:lang w:val="en" w:eastAsia="en"/>
        </w:rPr>
      </w:pPr>
      <w:r w:rsidRPr="00B01709">
        <w:rPr>
          <w:rFonts w:eastAsia="Georgia"/>
          <w:b w:val="0"/>
          <w:bCs w:val="0"/>
          <w:i w:val="0"/>
          <w:iCs w:val="0"/>
          <w:sz w:val="22"/>
          <w:szCs w:val="22"/>
          <w:lang w:val="en" w:eastAsia="en"/>
        </w:rPr>
        <w:t>We collect or use your information:</w:t>
      </w:r>
    </w:p>
    <w:p w14:paraId="4FEE55E3" w14:textId="7F599BD8" w:rsidR="00E02E91" w:rsidRPr="00B01709" w:rsidRDefault="00B01709"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Georgia" w:hAnsi="Arial" w:cs="Arial"/>
          <w:sz w:val="22"/>
          <w:szCs w:val="22"/>
          <w:lang w:val="en" w:eastAsia="en"/>
        </w:rPr>
        <w:t>to p</w:t>
      </w:r>
      <w:r w:rsidR="000A39CE" w:rsidRPr="00B01709">
        <w:rPr>
          <w:rFonts w:ascii="Arial" w:eastAsia="Georgia" w:hAnsi="Arial" w:cs="Arial"/>
          <w:sz w:val="22"/>
          <w:szCs w:val="22"/>
          <w:lang w:val="en" w:eastAsia="en"/>
        </w:rPr>
        <w:t>rovide patient care, services, pharmaceutical products and other goods;</w:t>
      </w:r>
    </w:p>
    <w:p w14:paraId="7D004F45" w14:textId="2C5F7F46" w:rsidR="00E02E91" w:rsidRPr="00B01709" w:rsidRDefault="00B01709"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Georgia" w:hAnsi="Arial" w:cs="Arial"/>
          <w:sz w:val="22"/>
          <w:szCs w:val="22"/>
          <w:lang w:val="en" w:eastAsia="en"/>
        </w:rPr>
        <w:t>for s</w:t>
      </w:r>
      <w:r w:rsidR="000A39CE" w:rsidRPr="00B01709">
        <w:rPr>
          <w:rFonts w:ascii="Arial" w:eastAsia="Georgia" w:hAnsi="Arial" w:cs="Arial"/>
          <w:sz w:val="22"/>
          <w:szCs w:val="22"/>
          <w:lang w:val="en" w:eastAsia="en"/>
        </w:rPr>
        <w:t>afeguarding or public protection reasons;</w:t>
      </w:r>
    </w:p>
    <w:p w14:paraId="1AC2B858" w14:textId="256E31A6" w:rsidR="00E02E91" w:rsidRPr="00B01709" w:rsidRDefault="00B01709"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Georgia" w:hAnsi="Arial" w:cs="Arial"/>
          <w:sz w:val="22"/>
          <w:szCs w:val="22"/>
          <w:lang w:val="en" w:eastAsia="en"/>
        </w:rPr>
        <w:t>to c</w:t>
      </w:r>
      <w:r w:rsidR="000A39CE" w:rsidRPr="00B01709">
        <w:rPr>
          <w:rFonts w:ascii="Arial" w:eastAsia="Georgia" w:hAnsi="Arial" w:cs="Arial"/>
          <w:sz w:val="22"/>
          <w:szCs w:val="22"/>
          <w:lang w:val="en" w:eastAsia="en"/>
        </w:rPr>
        <w:t>omply with legal requirements;</w:t>
      </w:r>
    </w:p>
    <w:p w14:paraId="6555A484" w14:textId="7D4F7F3F" w:rsidR="00E02E91" w:rsidRPr="00B01709" w:rsidRDefault="00B01709"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Georgia" w:hAnsi="Arial" w:cs="Arial"/>
          <w:sz w:val="22"/>
          <w:szCs w:val="22"/>
          <w:lang w:val="en" w:eastAsia="en"/>
        </w:rPr>
        <w:t>for m</w:t>
      </w:r>
      <w:r w:rsidR="000A39CE" w:rsidRPr="00B01709">
        <w:rPr>
          <w:rFonts w:ascii="Arial" w:eastAsia="Georgia" w:hAnsi="Arial" w:cs="Arial"/>
          <w:sz w:val="22"/>
          <w:szCs w:val="22"/>
          <w:lang w:val="en" w:eastAsia="en"/>
        </w:rPr>
        <w:t>edical research or archiving purposes; and</w:t>
      </w:r>
    </w:p>
    <w:p w14:paraId="42DA597E" w14:textId="29BD655B" w:rsidR="000A39CE" w:rsidRPr="00B01709" w:rsidRDefault="00B01709" w:rsidP="00B01709">
      <w:pPr>
        <w:numPr>
          <w:ilvl w:val="0"/>
          <w:numId w:val="1"/>
        </w:numPr>
        <w:spacing w:line="360" w:lineRule="atLeast"/>
        <w:ind w:left="357" w:hanging="357"/>
        <w:jc w:val="both"/>
        <w:rPr>
          <w:rFonts w:ascii="Arial" w:eastAsia="Verdana" w:hAnsi="Arial" w:cs="Arial"/>
          <w:sz w:val="22"/>
          <w:szCs w:val="22"/>
          <w:lang w:val="en" w:eastAsia="en"/>
        </w:rPr>
      </w:pPr>
      <w:proofErr w:type="gramStart"/>
      <w:r w:rsidRPr="00B01709">
        <w:rPr>
          <w:rFonts w:ascii="Arial" w:eastAsia="Georgia" w:hAnsi="Arial" w:cs="Arial"/>
          <w:sz w:val="22"/>
          <w:szCs w:val="22"/>
          <w:lang w:val="en" w:eastAsia="en"/>
        </w:rPr>
        <w:t>for</w:t>
      </w:r>
      <w:proofErr w:type="gramEnd"/>
      <w:r w:rsidRPr="00B01709">
        <w:rPr>
          <w:rFonts w:ascii="Arial" w:eastAsia="Georgia" w:hAnsi="Arial" w:cs="Arial"/>
          <w:sz w:val="22"/>
          <w:szCs w:val="22"/>
          <w:lang w:val="en" w:eastAsia="en"/>
        </w:rPr>
        <w:t xml:space="preserve"> d</w:t>
      </w:r>
      <w:r w:rsidR="000A39CE" w:rsidRPr="00B01709">
        <w:rPr>
          <w:rFonts w:ascii="Arial" w:eastAsia="Georgia" w:hAnsi="Arial" w:cs="Arial"/>
          <w:sz w:val="22"/>
          <w:szCs w:val="22"/>
          <w:lang w:val="en" w:eastAsia="en"/>
        </w:rPr>
        <w:t>ealing with queries, complaints or claims.</w:t>
      </w:r>
    </w:p>
    <w:p w14:paraId="10722771" w14:textId="0C6A5785" w:rsidR="00705E53" w:rsidRPr="00B01709" w:rsidRDefault="00B01709" w:rsidP="00B01709">
      <w:pPr>
        <w:pStyle w:val="Heading2"/>
        <w:keepNext w:val="0"/>
        <w:spacing w:after="0" w:line="360" w:lineRule="atLeast"/>
        <w:jc w:val="both"/>
        <w:rPr>
          <w:rFonts w:eastAsia="Georgia"/>
          <w:sz w:val="22"/>
          <w:szCs w:val="22"/>
          <w:lang w:val="en" w:eastAsia="en"/>
        </w:rPr>
      </w:pPr>
      <w:r w:rsidRPr="00B01709">
        <w:rPr>
          <w:rFonts w:eastAsia="Georgia"/>
          <w:i w:val="0"/>
          <w:iCs w:val="0"/>
          <w:sz w:val="22"/>
          <w:szCs w:val="22"/>
          <w:lang w:val="en" w:eastAsia="en"/>
        </w:rPr>
        <w:t>WHAT INFORMATION DO WE COLLECT AND USE?</w:t>
      </w:r>
    </w:p>
    <w:p w14:paraId="1183D429" w14:textId="0417645E" w:rsidR="00FA6FB0" w:rsidRPr="00B01709" w:rsidRDefault="00FA6FB0" w:rsidP="00B01709">
      <w:pPr>
        <w:spacing w:before="120" w:after="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We will collect or use information such as:</w:t>
      </w:r>
    </w:p>
    <w:p w14:paraId="69037410" w14:textId="77777777"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Name, address and contact details</w:t>
      </w:r>
      <w:r w:rsidR="00FA6FB0" w:rsidRPr="00B01709">
        <w:rPr>
          <w:rFonts w:ascii="Arial" w:eastAsia="Verdana" w:hAnsi="Arial" w:cs="Arial"/>
          <w:sz w:val="22"/>
          <w:szCs w:val="22"/>
          <w:lang w:val="en" w:eastAsia="en"/>
        </w:rPr>
        <w:t>;</w:t>
      </w:r>
    </w:p>
    <w:p w14:paraId="1052765F" w14:textId="77777777"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Gender</w:t>
      </w:r>
      <w:r w:rsidR="00FA6FB0" w:rsidRPr="00B01709">
        <w:rPr>
          <w:rFonts w:ascii="Arial" w:eastAsia="Verdana" w:hAnsi="Arial" w:cs="Arial"/>
          <w:sz w:val="22"/>
          <w:szCs w:val="22"/>
          <w:lang w:val="en" w:eastAsia="en"/>
        </w:rPr>
        <w:t xml:space="preserve"> and p</w:t>
      </w:r>
      <w:r w:rsidRPr="00B01709">
        <w:rPr>
          <w:rFonts w:ascii="Arial" w:eastAsia="Verdana" w:hAnsi="Arial" w:cs="Arial"/>
          <w:sz w:val="22"/>
          <w:szCs w:val="22"/>
          <w:lang w:val="en" w:eastAsia="en"/>
        </w:rPr>
        <w:t>ronoun preferences</w:t>
      </w:r>
      <w:r w:rsidR="00FA6FB0" w:rsidRPr="00B01709">
        <w:rPr>
          <w:rFonts w:ascii="Arial" w:eastAsia="Verdana" w:hAnsi="Arial" w:cs="Arial"/>
          <w:sz w:val="22"/>
          <w:szCs w:val="22"/>
          <w:lang w:val="en" w:eastAsia="en"/>
        </w:rPr>
        <w:t>;</w:t>
      </w:r>
    </w:p>
    <w:p w14:paraId="5381F4CE" w14:textId="73E8BBA6"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Date of birth</w:t>
      </w:r>
      <w:r w:rsidR="00FA6FB0" w:rsidRPr="00B01709">
        <w:rPr>
          <w:rFonts w:ascii="Arial" w:eastAsia="Verdana" w:hAnsi="Arial" w:cs="Arial"/>
          <w:sz w:val="22"/>
          <w:szCs w:val="22"/>
          <w:lang w:val="en" w:eastAsia="en"/>
        </w:rPr>
        <w:t>;</w:t>
      </w:r>
    </w:p>
    <w:p w14:paraId="438A9060" w14:textId="4273D281"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NHS/HSC/CHI number</w:t>
      </w:r>
      <w:r w:rsidR="00FA6FB0" w:rsidRPr="00B01709">
        <w:rPr>
          <w:rFonts w:ascii="Arial" w:eastAsia="Verdana" w:hAnsi="Arial" w:cs="Arial"/>
          <w:sz w:val="22"/>
          <w:szCs w:val="22"/>
          <w:lang w:val="en" w:eastAsia="en"/>
        </w:rPr>
        <w:t>;</w:t>
      </w:r>
    </w:p>
    <w:p w14:paraId="17310B45" w14:textId="705F7ACC"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National Insurance number</w:t>
      </w:r>
      <w:r w:rsidR="00FA6FB0" w:rsidRPr="00B01709">
        <w:rPr>
          <w:rFonts w:ascii="Arial" w:eastAsia="Verdana" w:hAnsi="Arial" w:cs="Arial"/>
          <w:sz w:val="22"/>
          <w:szCs w:val="22"/>
          <w:lang w:val="en" w:eastAsia="en"/>
        </w:rPr>
        <w:t>;</w:t>
      </w:r>
    </w:p>
    <w:p w14:paraId="2D59F20F" w14:textId="24430037" w:rsidR="00FF3C35" w:rsidRPr="00B01709" w:rsidRDefault="00FF3C35"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Identification documents;</w:t>
      </w:r>
    </w:p>
    <w:p w14:paraId="1F4B787C" w14:textId="72BBA8AE" w:rsidR="00FF3C35" w:rsidRPr="00B01709" w:rsidRDefault="00FF3C35"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Health and safety information;</w:t>
      </w:r>
    </w:p>
    <w:p w14:paraId="339F46E2" w14:textId="19F6DF72"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Next of Kin details including any support networks</w:t>
      </w:r>
      <w:r w:rsidR="00FA6FB0" w:rsidRPr="00B01709">
        <w:rPr>
          <w:rFonts w:ascii="Arial" w:eastAsia="Verdana" w:hAnsi="Arial" w:cs="Arial"/>
          <w:sz w:val="22"/>
          <w:szCs w:val="22"/>
          <w:lang w:val="en" w:eastAsia="en"/>
        </w:rPr>
        <w:t>;</w:t>
      </w:r>
    </w:p>
    <w:p w14:paraId="7F9665EA" w14:textId="2EE6CB4B"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Emergency contact details</w:t>
      </w:r>
      <w:r w:rsidR="00FA6FB0" w:rsidRPr="00B01709">
        <w:rPr>
          <w:rFonts w:ascii="Arial" w:eastAsia="Verdana" w:hAnsi="Arial" w:cs="Arial"/>
          <w:sz w:val="22"/>
          <w:szCs w:val="22"/>
          <w:lang w:val="en" w:eastAsia="en"/>
        </w:rPr>
        <w:t>;</w:t>
      </w:r>
    </w:p>
    <w:p w14:paraId="75450549" w14:textId="6711BC88"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Photographs</w:t>
      </w:r>
      <w:r w:rsidR="00FA6FB0" w:rsidRPr="00B01709">
        <w:rPr>
          <w:rFonts w:ascii="Arial" w:eastAsia="Verdana" w:hAnsi="Arial" w:cs="Arial"/>
          <w:sz w:val="22"/>
          <w:szCs w:val="22"/>
          <w:lang w:val="en" w:eastAsia="en"/>
        </w:rPr>
        <w:t>;</w:t>
      </w:r>
    </w:p>
    <w:p w14:paraId="1AA9661B" w14:textId="26C72A9A" w:rsidR="00FF3C35" w:rsidRPr="00B01709" w:rsidRDefault="00FF3C35"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Safeguarding information;</w:t>
      </w:r>
    </w:p>
    <w:p w14:paraId="37764423" w14:textId="77777777"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lastRenderedPageBreak/>
        <w:t>Health information (including medical conditions, allergies, medical requirements and medical history)</w:t>
      </w:r>
      <w:r w:rsidR="00FA6FB0" w:rsidRPr="00B01709">
        <w:rPr>
          <w:rFonts w:ascii="Arial" w:eastAsia="Verdana" w:hAnsi="Arial" w:cs="Arial"/>
          <w:sz w:val="22"/>
          <w:szCs w:val="22"/>
          <w:lang w:val="en" w:eastAsia="en"/>
        </w:rPr>
        <w:t>;</w:t>
      </w:r>
    </w:p>
    <w:p w14:paraId="17BEE119" w14:textId="10CE2D93"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Information about care needs (including disabilities, home conditions, medication and dietary requirements and general care provisions)</w:t>
      </w:r>
      <w:r w:rsidR="00FA6FB0" w:rsidRPr="00B01709">
        <w:rPr>
          <w:rFonts w:ascii="Arial" w:eastAsia="Verdana" w:hAnsi="Arial" w:cs="Arial"/>
          <w:sz w:val="22"/>
          <w:szCs w:val="22"/>
          <w:lang w:val="en" w:eastAsia="en"/>
        </w:rPr>
        <w:t>;</w:t>
      </w:r>
    </w:p>
    <w:p w14:paraId="44F8A970" w14:textId="77777777"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Test results (including psychological evaluations, scans, bloods, x-rays, tissue tests and genetic tests)</w:t>
      </w:r>
      <w:r w:rsidR="00FA6FB0" w:rsidRPr="00B01709">
        <w:rPr>
          <w:rFonts w:ascii="Arial" w:eastAsia="Verdana" w:hAnsi="Arial" w:cs="Arial"/>
          <w:sz w:val="22"/>
          <w:szCs w:val="22"/>
          <w:lang w:val="en" w:eastAsia="en"/>
        </w:rPr>
        <w:t>;</w:t>
      </w:r>
    </w:p>
    <w:p w14:paraId="0A1F8F2C" w14:textId="77777777" w:rsidR="00FA6FB0"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Payment details (including card or bank information for transfers and direct debits)</w:t>
      </w:r>
      <w:r w:rsidR="00FA6FB0" w:rsidRPr="00B01709">
        <w:rPr>
          <w:rFonts w:ascii="Arial" w:eastAsia="Verdana" w:hAnsi="Arial" w:cs="Arial"/>
          <w:sz w:val="22"/>
          <w:szCs w:val="22"/>
          <w:lang w:val="en" w:eastAsia="en"/>
        </w:rPr>
        <w:t>;</w:t>
      </w:r>
    </w:p>
    <w:p w14:paraId="2D0F77A4" w14:textId="77777777" w:rsidR="00FF3C35"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Insurance policy details</w:t>
      </w:r>
      <w:r w:rsidR="00FA6FB0" w:rsidRPr="00B01709">
        <w:rPr>
          <w:rFonts w:ascii="Arial" w:eastAsia="Verdana" w:hAnsi="Arial" w:cs="Arial"/>
          <w:sz w:val="22"/>
          <w:szCs w:val="22"/>
          <w:lang w:val="en" w:eastAsia="en"/>
        </w:rPr>
        <w:t>;</w:t>
      </w:r>
    </w:p>
    <w:p w14:paraId="0284DB67" w14:textId="23491D99" w:rsidR="00FF3C35" w:rsidRPr="00B01709" w:rsidRDefault="00052605"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Records of meetings and decisions</w:t>
      </w:r>
      <w:r w:rsidR="003E5629" w:rsidRPr="00B01709">
        <w:rPr>
          <w:rFonts w:ascii="Arial" w:eastAsia="Verdana" w:hAnsi="Arial" w:cs="Arial"/>
          <w:sz w:val="22"/>
          <w:szCs w:val="22"/>
          <w:lang w:val="en" w:eastAsia="en"/>
        </w:rPr>
        <w:t>;</w:t>
      </w:r>
    </w:p>
    <w:p w14:paraId="18844780" w14:textId="15F8ED9F" w:rsidR="00611EB4" w:rsidRPr="00B01709" w:rsidRDefault="00611EB4"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Recorded images such as photographs, X-rays or scan images</w:t>
      </w:r>
      <w:r w:rsidR="003E5629" w:rsidRPr="00B01709">
        <w:rPr>
          <w:rFonts w:ascii="Arial" w:eastAsia="Verdana" w:hAnsi="Arial" w:cs="Arial"/>
          <w:sz w:val="22"/>
          <w:szCs w:val="22"/>
          <w:lang w:val="en" w:eastAsia="en"/>
        </w:rPr>
        <w:t>;</w:t>
      </w:r>
    </w:p>
    <w:p w14:paraId="25B7B6DE" w14:textId="454C349C" w:rsidR="00611EB4" w:rsidRPr="00B01709" w:rsidRDefault="00611EB4"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Personal information used for administration of research</w:t>
      </w:r>
      <w:r w:rsidR="003E5629" w:rsidRPr="00B01709">
        <w:rPr>
          <w:rFonts w:ascii="Arial" w:eastAsia="Verdana" w:hAnsi="Arial" w:cs="Arial"/>
          <w:sz w:val="22"/>
          <w:szCs w:val="22"/>
          <w:lang w:val="en" w:eastAsia="en"/>
        </w:rPr>
        <w:t>;</w:t>
      </w:r>
    </w:p>
    <w:p w14:paraId="13EF336D" w14:textId="3CDEA0B2" w:rsidR="00611EB4" w:rsidRPr="00B01709" w:rsidRDefault="00611EB4"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Personal information used for the purpose of research</w:t>
      </w:r>
      <w:r w:rsidR="003E5629" w:rsidRPr="00B01709">
        <w:rPr>
          <w:rFonts w:ascii="Arial" w:eastAsia="Verdana" w:hAnsi="Arial" w:cs="Arial"/>
          <w:sz w:val="22"/>
          <w:szCs w:val="22"/>
          <w:lang w:val="en" w:eastAsia="en"/>
        </w:rPr>
        <w:t>;</w:t>
      </w:r>
    </w:p>
    <w:p w14:paraId="5A9488BB" w14:textId="43C7A6F4" w:rsidR="00611EB4" w:rsidRPr="00B01709" w:rsidRDefault="00611EB4"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Personal information used for medical investigations</w:t>
      </w:r>
      <w:r w:rsidR="003E5629" w:rsidRPr="00B01709">
        <w:rPr>
          <w:rFonts w:ascii="Arial" w:eastAsia="Verdana" w:hAnsi="Arial" w:cs="Arial"/>
          <w:sz w:val="22"/>
          <w:szCs w:val="22"/>
          <w:lang w:val="en" w:eastAsia="en"/>
        </w:rPr>
        <w:t>;</w:t>
      </w:r>
    </w:p>
    <w:p w14:paraId="0F4E4740" w14:textId="5D5CB3C2" w:rsidR="00611EB4" w:rsidRPr="00B01709" w:rsidRDefault="00611EB4" w:rsidP="00B01709">
      <w:pPr>
        <w:pStyle w:val="ListParagraph"/>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Records of consent, where appropriate</w:t>
      </w:r>
      <w:r w:rsidR="003E5629" w:rsidRPr="00B01709">
        <w:rPr>
          <w:rFonts w:ascii="Arial" w:eastAsia="Verdana" w:hAnsi="Arial" w:cs="Arial"/>
          <w:sz w:val="22"/>
          <w:szCs w:val="22"/>
          <w:lang w:val="en" w:eastAsia="en"/>
        </w:rPr>
        <w:t>;</w:t>
      </w:r>
    </w:p>
    <w:p w14:paraId="43651BE2" w14:textId="46C832E0" w:rsidR="00611EB4" w:rsidRPr="00B01709" w:rsidRDefault="00611EB4"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Information relating to health and safety (including incident investigation details and reports and accident book records)</w:t>
      </w:r>
      <w:r w:rsidR="003E5629" w:rsidRPr="00B01709">
        <w:rPr>
          <w:rFonts w:ascii="Arial" w:eastAsia="Verdana" w:hAnsi="Arial" w:cs="Arial"/>
          <w:sz w:val="22"/>
          <w:szCs w:val="22"/>
          <w:lang w:val="en" w:eastAsia="en"/>
        </w:rPr>
        <w:t>; and</w:t>
      </w:r>
    </w:p>
    <w:p w14:paraId="7726E559" w14:textId="535C9B71" w:rsidR="00611EB4" w:rsidRPr="00B01709" w:rsidRDefault="00BD0D5A" w:rsidP="00B01709">
      <w:pPr>
        <w:numPr>
          <w:ilvl w:val="0"/>
          <w:numId w:val="1"/>
        </w:numPr>
        <w:spacing w:line="360" w:lineRule="atLeast"/>
        <w:ind w:left="357" w:hanging="357"/>
        <w:jc w:val="both"/>
        <w:rPr>
          <w:rFonts w:ascii="Arial" w:eastAsia="Verdana" w:hAnsi="Arial" w:cs="Arial"/>
          <w:sz w:val="22"/>
          <w:szCs w:val="22"/>
          <w:lang w:val="en" w:eastAsia="en"/>
        </w:rPr>
      </w:pPr>
      <w:r>
        <w:rPr>
          <w:rFonts w:ascii="Arial" w:eastAsia="Verdana" w:hAnsi="Arial" w:cs="Arial"/>
          <w:sz w:val="22"/>
          <w:szCs w:val="22"/>
          <w:lang w:val="en" w:eastAsia="en"/>
        </w:rPr>
        <w:t>Any other c</w:t>
      </w:r>
      <w:r w:rsidR="00611EB4" w:rsidRPr="00B01709">
        <w:rPr>
          <w:rFonts w:ascii="Arial" w:eastAsia="Verdana" w:hAnsi="Arial" w:cs="Arial"/>
          <w:sz w:val="22"/>
          <w:szCs w:val="22"/>
          <w:lang w:val="en" w:eastAsia="en"/>
        </w:rPr>
        <w:t>orrespondence</w:t>
      </w:r>
      <w:r w:rsidR="0037170C" w:rsidRPr="00B01709">
        <w:rPr>
          <w:rFonts w:ascii="Arial" w:eastAsia="Verdana" w:hAnsi="Arial" w:cs="Arial"/>
          <w:sz w:val="22"/>
          <w:szCs w:val="22"/>
          <w:lang w:val="en" w:eastAsia="en"/>
        </w:rPr>
        <w:t>.</w:t>
      </w:r>
    </w:p>
    <w:p w14:paraId="792BC5E1" w14:textId="58787EDA" w:rsidR="00611EB4" w:rsidRPr="00B01709" w:rsidRDefault="00611EB4" w:rsidP="00B01709">
      <w:pPr>
        <w:spacing w:before="240" w:after="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We will also collect the following special category information:</w:t>
      </w:r>
    </w:p>
    <w:p w14:paraId="2BD25F18" w14:textId="25A09245" w:rsidR="00611EB4" w:rsidRPr="00B01709" w:rsidRDefault="00B01709"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Information relating to r</w:t>
      </w:r>
      <w:r w:rsidR="00052605" w:rsidRPr="00B01709">
        <w:rPr>
          <w:rFonts w:ascii="Arial" w:eastAsia="Verdana" w:hAnsi="Arial" w:cs="Arial"/>
          <w:sz w:val="22"/>
          <w:szCs w:val="22"/>
          <w:lang w:val="en" w:eastAsia="en"/>
        </w:rPr>
        <w:t>acial or ethnic origin</w:t>
      </w:r>
      <w:r w:rsidR="0037170C" w:rsidRPr="00B01709">
        <w:rPr>
          <w:rFonts w:ascii="Arial" w:eastAsia="Verdana" w:hAnsi="Arial" w:cs="Arial"/>
          <w:sz w:val="22"/>
          <w:szCs w:val="22"/>
          <w:lang w:val="en" w:eastAsia="en"/>
        </w:rPr>
        <w:t>;</w:t>
      </w:r>
    </w:p>
    <w:p w14:paraId="3F91DF36" w14:textId="54D5586E" w:rsidR="00611EB4" w:rsidRPr="00B01709" w:rsidRDefault="00052605"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Genetic information</w:t>
      </w:r>
      <w:r w:rsidR="0037170C" w:rsidRPr="00B01709">
        <w:rPr>
          <w:rFonts w:ascii="Arial" w:eastAsia="Verdana" w:hAnsi="Arial" w:cs="Arial"/>
          <w:sz w:val="22"/>
          <w:szCs w:val="22"/>
          <w:lang w:val="en" w:eastAsia="en"/>
        </w:rPr>
        <w:t>;</w:t>
      </w:r>
    </w:p>
    <w:p w14:paraId="128B4A56" w14:textId="17AE6136" w:rsidR="00611EB4" w:rsidRPr="00B01709" w:rsidRDefault="00052605"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Biometric information (where used to identify someone)</w:t>
      </w:r>
      <w:r w:rsidR="0037170C" w:rsidRPr="00B01709">
        <w:rPr>
          <w:rFonts w:ascii="Arial" w:eastAsia="Verdana" w:hAnsi="Arial" w:cs="Arial"/>
          <w:sz w:val="22"/>
          <w:szCs w:val="22"/>
          <w:lang w:val="en" w:eastAsia="en"/>
        </w:rPr>
        <w:t>;</w:t>
      </w:r>
    </w:p>
    <w:p w14:paraId="4CE27808" w14:textId="17D401A7" w:rsidR="00611EB4" w:rsidRPr="00B01709" w:rsidRDefault="00052605"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Health information</w:t>
      </w:r>
      <w:r w:rsidR="0037170C" w:rsidRPr="00B01709">
        <w:rPr>
          <w:rFonts w:ascii="Arial" w:eastAsia="Verdana" w:hAnsi="Arial" w:cs="Arial"/>
          <w:sz w:val="22"/>
          <w:szCs w:val="22"/>
          <w:lang w:val="en" w:eastAsia="en"/>
        </w:rPr>
        <w:t>;</w:t>
      </w:r>
    </w:p>
    <w:p w14:paraId="16B4D8D2" w14:textId="6B79759B" w:rsidR="00611EB4" w:rsidRPr="00B01709" w:rsidRDefault="00052605"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Sex life information</w:t>
      </w:r>
      <w:r w:rsidR="0037170C" w:rsidRPr="00B01709">
        <w:rPr>
          <w:rFonts w:ascii="Arial" w:eastAsia="Verdana" w:hAnsi="Arial" w:cs="Arial"/>
          <w:sz w:val="22"/>
          <w:szCs w:val="22"/>
          <w:lang w:val="en" w:eastAsia="en"/>
        </w:rPr>
        <w:t>; and</w:t>
      </w:r>
    </w:p>
    <w:p w14:paraId="73336744" w14:textId="2DA1BA8A" w:rsidR="00611EB4" w:rsidRPr="00B01709" w:rsidRDefault="00052605" w:rsidP="00B01709">
      <w:pPr>
        <w:numPr>
          <w:ilvl w:val="0"/>
          <w:numId w:val="1"/>
        </w:numPr>
        <w:spacing w:line="360" w:lineRule="atLeast"/>
        <w:ind w:left="357" w:hanging="357"/>
        <w:jc w:val="both"/>
        <w:rPr>
          <w:rFonts w:ascii="Arial" w:eastAsia="Verdana" w:hAnsi="Arial" w:cs="Arial"/>
          <w:sz w:val="22"/>
          <w:szCs w:val="22"/>
          <w:lang w:val="en" w:eastAsia="en"/>
        </w:rPr>
      </w:pPr>
      <w:r w:rsidRPr="00B01709">
        <w:rPr>
          <w:rFonts w:ascii="Arial" w:eastAsia="Verdana" w:hAnsi="Arial" w:cs="Arial"/>
          <w:sz w:val="22"/>
          <w:szCs w:val="22"/>
          <w:lang w:val="en" w:eastAsia="en"/>
        </w:rPr>
        <w:t>Sexual orientation information</w:t>
      </w:r>
      <w:bookmarkStart w:id="3" w:name="lawful"/>
      <w:bookmarkEnd w:id="3"/>
      <w:r w:rsidR="0037170C" w:rsidRPr="00B01709">
        <w:rPr>
          <w:rFonts w:ascii="Arial" w:eastAsia="Verdana" w:hAnsi="Arial" w:cs="Arial"/>
          <w:sz w:val="22"/>
          <w:szCs w:val="22"/>
          <w:lang w:val="en" w:eastAsia="en"/>
        </w:rPr>
        <w:t>.</w:t>
      </w:r>
    </w:p>
    <w:p w14:paraId="64F5EA44" w14:textId="56FC5ABA" w:rsidR="00705E53" w:rsidRPr="00B01709" w:rsidRDefault="00B01709" w:rsidP="00B01709">
      <w:pPr>
        <w:pStyle w:val="Heading2"/>
        <w:keepNext w:val="0"/>
        <w:spacing w:after="0" w:line="360" w:lineRule="atLeast"/>
        <w:jc w:val="both"/>
        <w:rPr>
          <w:rFonts w:eastAsia="Georgia"/>
          <w:sz w:val="22"/>
          <w:szCs w:val="22"/>
          <w:lang w:val="en" w:eastAsia="en"/>
        </w:rPr>
      </w:pPr>
      <w:r w:rsidRPr="00B01709">
        <w:rPr>
          <w:rFonts w:eastAsia="Georgia"/>
          <w:i w:val="0"/>
          <w:iCs w:val="0"/>
          <w:sz w:val="22"/>
          <w:szCs w:val="22"/>
          <w:lang w:val="en" w:eastAsia="en"/>
        </w:rPr>
        <w:t>LAWFUL BASES AND DATA PROTECTION RIGHTS</w:t>
      </w:r>
    </w:p>
    <w:p w14:paraId="1BA6E94B" w14:textId="6F487F02"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Under UK data protection law, we must have a “lawful basis” for collecting and using your personal information. There is a list of possible lawful bases in the UK GDPR. You can find out more about lawful bases on the ICO’s website.</w:t>
      </w:r>
    </w:p>
    <w:p w14:paraId="4B2A423C" w14:textId="5BDBF2B9"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Which lawful basis we rely on may affect your data protection rights which are in brief set out </w:t>
      </w:r>
      <w:proofErr w:type="gramStart"/>
      <w:r w:rsidRPr="00B01709">
        <w:rPr>
          <w:rFonts w:ascii="Arial" w:eastAsia="Verdana" w:hAnsi="Arial" w:cs="Arial"/>
          <w:sz w:val="22"/>
          <w:szCs w:val="22"/>
          <w:lang w:val="en" w:eastAsia="en"/>
        </w:rPr>
        <w:t>below</w:t>
      </w:r>
      <w:proofErr w:type="gramEnd"/>
      <w:r w:rsidRPr="00B01709">
        <w:rPr>
          <w:rFonts w:ascii="Arial" w:eastAsia="Verdana" w:hAnsi="Arial" w:cs="Arial"/>
          <w:sz w:val="22"/>
          <w:szCs w:val="22"/>
          <w:lang w:val="en" w:eastAsia="en"/>
        </w:rPr>
        <w:t>. You can find out more about your data protection rights and the exemptions which may apply on the ICO’s website:</w:t>
      </w:r>
    </w:p>
    <w:p w14:paraId="14D7AFA4" w14:textId="259FB834" w:rsidR="00705E53"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b/>
          <w:bCs/>
          <w:sz w:val="22"/>
          <w:szCs w:val="22"/>
          <w:lang w:val="en" w:eastAsia="en"/>
        </w:rPr>
        <w:t>Your right of access</w:t>
      </w:r>
      <w:r w:rsidRPr="00B01709">
        <w:rPr>
          <w:rFonts w:ascii="Arial" w:eastAsia="Verdana" w:hAnsi="Arial" w:cs="Arial"/>
          <w:sz w:val="22"/>
          <w:szCs w:val="22"/>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6" w:tgtFrame="_blank" w:tooltip="Your data protection rights" w:history="1">
        <w:r w:rsidRPr="00B01709">
          <w:rPr>
            <w:rFonts w:ascii="Arial" w:eastAsia="Verdana" w:hAnsi="Arial" w:cs="Arial"/>
            <w:color w:val="0000EE"/>
            <w:sz w:val="22"/>
            <w:szCs w:val="22"/>
            <w:u w:val="single" w:color="0000EE"/>
            <w:lang w:val="en" w:eastAsia="en"/>
          </w:rPr>
          <w:t>You can read more about this right here</w:t>
        </w:r>
      </w:hyperlink>
      <w:r w:rsidRPr="00B01709">
        <w:rPr>
          <w:rFonts w:ascii="Arial" w:eastAsia="Verdana" w:hAnsi="Arial" w:cs="Arial"/>
          <w:sz w:val="22"/>
          <w:szCs w:val="22"/>
          <w:lang w:val="en" w:eastAsia="en"/>
        </w:rPr>
        <w:t>.</w:t>
      </w:r>
    </w:p>
    <w:p w14:paraId="2D7D260D" w14:textId="53BB563E"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b/>
          <w:bCs/>
          <w:sz w:val="22"/>
          <w:szCs w:val="22"/>
          <w:lang w:val="en" w:eastAsia="en"/>
        </w:rPr>
        <w:lastRenderedPageBreak/>
        <w:t>Your right to rectification</w:t>
      </w:r>
      <w:r w:rsidRPr="00B01709">
        <w:rPr>
          <w:rFonts w:ascii="Arial" w:eastAsia="Verdana" w:hAnsi="Arial" w:cs="Arial"/>
          <w:sz w:val="22"/>
          <w:szCs w:val="22"/>
          <w:lang w:val="en" w:eastAsia="en"/>
        </w:rPr>
        <w:t xml:space="preserve"> - You have the right to ask us to correct or delete personal information you think is inaccurate or incomplete. </w:t>
      </w:r>
      <w:hyperlink r:id="rId7" w:tgtFrame="_blank" w:tooltip="Your data protection rights" w:history="1">
        <w:r w:rsidRPr="00B01709">
          <w:rPr>
            <w:rFonts w:ascii="Arial" w:eastAsia="Verdana" w:hAnsi="Arial" w:cs="Arial"/>
            <w:color w:val="0000EE"/>
            <w:sz w:val="22"/>
            <w:szCs w:val="22"/>
            <w:u w:val="single" w:color="0000EE"/>
            <w:lang w:val="en" w:eastAsia="en"/>
          </w:rPr>
          <w:t>You can read more about this right here</w:t>
        </w:r>
      </w:hyperlink>
      <w:r w:rsidRPr="00B01709">
        <w:rPr>
          <w:rFonts w:ascii="Arial" w:eastAsia="Verdana" w:hAnsi="Arial" w:cs="Arial"/>
          <w:sz w:val="22"/>
          <w:szCs w:val="22"/>
          <w:lang w:val="en" w:eastAsia="en"/>
        </w:rPr>
        <w:t>.</w:t>
      </w:r>
    </w:p>
    <w:p w14:paraId="16410D53" w14:textId="79110D4C"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b/>
          <w:bCs/>
          <w:sz w:val="22"/>
          <w:szCs w:val="22"/>
          <w:lang w:val="en" w:eastAsia="en"/>
        </w:rPr>
        <w:t>Your right to erasure</w:t>
      </w:r>
      <w:r w:rsidRPr="00B01709">
        <w:rPr>
          <w:rFonts w:ascii="Arial" w:eastAsia="Verdana" w:hAnsi="Arial" w:cs="Arial"/>
          <w:sz w:val="22"/>
          <w:szCs w:val="22"/>
          <w:lang w:val="en" w:eastAsia="en"/>
        </w:rPr>
        <w:t xml:space="preserve"> - You have the right to ask us to delete your personal information. </w:t>
      </w:r>
      <w:hyperlink r:id="rId8" w:tgtFrame="_blank" w:tooltip="Your data protection rights" w:history="1">
        <w:r w:rsidRPr="00B01709">
          <w:rPr>
            <w:rFonts w:ascii="Arial" w:eastAsia="Verdana" w:hAnsi="Arial" w:cs="Arial"/>
            <w:color w:val="0000EE"/>
            <w:sz w:val="22"/>
            <w:szCs w:val="22"/>
            <w:u w:val="single" w:color="0000EE"/>
            <w:lang w:val="en" w:eastAsia="en"/>
          </w:rPr>
          <w:t>You can read more about this right here</w:t>
        </w:r>
      </w:hyperlink>
      <w:r w:rsidRPr="00B01709">
        <w:rPr>
          <w:rFonts w:ascii="Arial" w:eastAsia="Verdana" w:hAnsi="Arial" w:cs="Arial"/>
          <w:sz w:val="22"/>
          <w:szCs w:val="22"/>
          <w:lang w:val="en" w:eastAsia="en"/>
        </w:rPr>
        <w:t>.</w:t>
      </w:r>
    </w:p>
    <w:p w14:paraId="653E0EF4" w14:textId="0BD12263"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b/>
          <w:bCs/>
          <w:sz w:val="22"/>
          <w:szCs w:val="22"/>
          <w:lang w:val="en" w:eastAsia="en"/>
        </w:rPr>
        <w:t>Your right to restriction of processing</w:t>
      </w:r>
      <w:r w:rsidRPr="00B01709">
        <w:rPr>
          <w:rFonts w:ascii="Arial" w:eastAsia="Verdana" w:hAnsi="Arial" w:cs="Arial"/>
          <w:sz w:val="22"/>
          <w:szCs w:val="22"/>
          <w:lang w:val="en" w:eastAsia="en"/>
        </w:rPr>
        <w:t xml:space="preserve"> - You have the right to ask us to limit how we can use your personal information. </w:t>
      </w:r>
      <w:hyperlink r:id="rId9" w:tgtFrame="_blank" w:tooltip="Your data protection rights" w:history="1">
        <w:r w:rsidRPr="00B01709">
          <w:rPr>
            <w:rFonts w:ascii="Arial" w:eastAsia="Verdana" w:hAnsi="Arial" w:cs="Arial"/>
            <w:color w:val="0000EE"/>
            <w:sz w:val="22"/>
            <w:szCs w:val="22"/>
            <w:u w:val="single" w:color="0000EE"/>
            <w:lang w:val="en" w:eastAsia="en"/>
          </w:rPr>
          <w:t>You can read more about this right here</w:t>
        </w:r>
      </w:hyperlink>
      <w:r w:rsidRPr="00B01709">
        <w:rPr>
          <w:rFonts w:ascii="Arial" w:eastAsia="Verdana" w:hAnsi="Arial" w:cs="Arial"/>
          <w:sz w:val="22"/>
          <w:szCs w:val="22"/>
          <w:lang w:val="en" w:eastAsia="en"/>
        </w:rPr>
        <w:t>.</w:t>
      </w:r>
    </w:p>
    <w:p w14:paraId="1658ACC2" w14:textId="6DA2B053"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b/>
          <w:bCs/>
          <w:sz w:val="22"/>
          <w:szCs w:val="22"/>
          <w:lang w:val="en" w:eastAsia="en"/>
        </w:rPr>
        <w:t>Your right to object to processing</w:t>
      </w:r>
      <w:r w:rsidRPr="00B01709">
        <w:rPr>
          <w:rFonts w:ascii="Arial" w:eastAsia="Verdana" w:hAnsi="Arial" w:cs="Arial"/>
          <w:sz w:val="22"/>
          <w:szCs w:val="22"/>
          <w:lang w:val="en" w:eastAsia="en"/>
        </w:rPr>
        <w:t xml:space="preserve"> - You have the right to object to the processing of your personal data. </w:t>
      </w:r>
      <w:hyperlink r:id="rId10" w:tgtFrame="_blank" w:tooltip="Your data protection rights" w:history="1">
        <w:r w:rsidRPr="00B01709">
          <w:rPr>
            <w:rFonts w:ascii="Arial" w:eastAsia="Verdana" w:hAnsi="Arial" w:cs="Arial"/>
            <w:color w:val="0000EE"/>
            <w:sz w:val="22"/>
            <w:szCs w:val="22"/>
            <w:u w:val="single" w:color="0000EE"/>
            <w:lang w:val="en" w:eastAsia="en"/>
          </w:rPr>
          <w:t>You can read more about this right here</w:t>
        </w:r>
      </w:hyperlink>
      <w:r w:rsidRPr="00B01709">
        <w:rPr>
          <w:rFonts w:ascii="Arial" w:eastAsia="Verdana" w:hAnsi="Arial" w:cs="Arial"/>
          <w:sz w:val="22"/>
          <w:szCs w:val="22"/>
          <w:lang w:val="en" w:eastAsia="en"/>
        </w:rPr>
        <w:t>.</w:t>
      </w:r>
    </w:p>
    <w:p w14:paraId="03F1D6E9" w14:textId="66CDCFDB"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b/>
          <w:bCs/>
          <w:sz w:val="22"/>
          <w:szCs w:val="22"/>
          <w:lang w:val="en" w:eastAsia="en"/>
        </w:rPr>
        <w:t>Your right to data portability</w:t>
      </w:r>
      <w:r w:rsidRPr="00B01709">
        <w:rPr>
          <w:rFonts w:ascii="Arial" w:eastAsia="Verdana" w:hAnsi="Arial" w:cs="Arial"/>
          <w:sz w:val="22"/>
          <w:szCs w:val="22"/>
          <w:lang w:val="en" w:eastAsia="en"/>
        </w:rPr>
        <w:t xml:space="preserve"> - You have the right to ask that we transfer the personal information you gave us to another organisation, or to you. </w:t>
      </w:r>
      <w:hyperlink r:id="rId11" w:tgtFrame="_blank" w:tooltip="Your data protection rights" w:history="1">
        <w:r w:rsidRPr="00B01709">
          <w:rPr>
            <w:rFonts w:ascii="Arial" w:eastAsia="Verdana" w:hAnsi="Arial" w:cs="Arial"/>
            <w:color w:val="0000EE"/>
            <w:sz w:val="22"/>
            <w:szCs w:val="22"/>
            <w:u w:val="single" w:color="0000EE"/>
            <w:lang w:val="en" w:eastAsia="en"/>
          </w:rPr>
          <w:t>You can read more about this right here</w:t>
        </w:r>
      </w:hyperlink>
      <w:r w:rsidRPr="00B01709">
        <w:rPr>
          <w:rFonts w:ascii="Arial" w:eastAsia="Verdana" w:hAnsi="Arial" w:cs="Arial"/>
          <w:sz w:val="22"/>
          <w:szCs w:val="22"/>
          <w:lang w:val="en" w:eastAsia="en"/>
        </w:rPr>
        <w:t>.</w:t>
      </w:r>
    </w:p>
    <w:p w14:paraId="28A210B0" w14:textId="7EBF8781"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b/>
          <w:bCs/>
          <w:sz w:val="22"/>
          <w:szCs w:val="22"/>
          <w:lang w:val="en" w:eastAsia="en"/>
        </w:rPr>
        <w:t>Your right to withdraw consent</w:t>
      </w:r>
      <w:r w:rsidRPr="00B01709">
        <w:rPr>
          <w:rFonts w:ascii="Arial" w:eastAsia="Verdana" w:hAnsi="Arial" w:cs="Arial"/>
          <w:sz w:val="22"/>
          <w:szCs w:val="22"/>
          <w:lang w:val="en" w:eastAsia="en"/>
        </w:rPr>
        <w:t xml:space="preserve"> – When we use consent as our lawful basis you have the right to withdraw your consent at any time. </w:t>
      </w:r>
      <w:hyperlink r:id="rId12" w:anchor=":~:text=Prior%20to%20giving%20consent%2C%20the,choose%2C%20on%20their%20own%20initiative." w:tgtFrame="_blank" w:tooltip="Your data protection rights" w:history="1">
        <w:r w:rsidRPr="00B01709">
          <w:rPr>
            <w:rFonts w:ascii="Arial" w:eastAsia="Verdana" w:hAnsi="Arial" w:cs="Arial"/>
            <w:color w:val="0000EE"/>
            <w:sz w:val="22"/>
            <w:szCs w:val="22"/>
            <w:u w:val="single" w:color="0000EE"/>
            <w:lang w:val="en" w:eastAsia="en"/>
          </w:rPr>
          <w:t>You can read more about this right here</w:t>
        </w:r>
      </w:hyperlink>
      <w:r w:rsidR="00FF3C35" w:rsidRPr="00B01709">
        <w:rPr>
          <w:rFonts w:ascii="Arial" w:eastAsia="Verdana" w:hAnsi="Arial" w:cs="Arial"/>
          <w:sz w:val="22"/>
          <w:szCs w:val="22"/>
          <w:lang w:val="en" w:eastAsia="en"/>
        </w:rPr>
        <w:t>.</w:t>
      </w:r>
    </w:p>
    <w:p w14:paraId="439F1AA0" w14:textId="424D2CA1" w:rsidR="00FF3C35"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If you make a request, we must respond to you without undue delay and in any event </w:t>
      </w:r>
      <w:r w:rsidRPr="00B01709">
        <w:rPr>
          <w:rFonts w:ascii="Arial" w:eastAsia="Verdana" w:hAnsi="Arial" w:cs="Arial"/>
          <w:b/>
          <w:bCs/>
          <w:sz w:val="22"/>
          <w:szCs w:val="22"/>
          <w:lang w:val="en" w:eastAsia="en"/>
        </w:rPr>
        <w:t>within one month</w:t>
      </w:r>
      <w:r w:rsidRPr="00B01709">
        <w:rPr>
          <w:rFonts w:ascii="Arial" w:eastAsia="Verdana" w:hAnsi="Arial" w:cs="Arial"/>
          <w:sz w:val="22"/>
          <w:szCs w:val="22"/>
          <w:lang w:val="en" w:eastAsia="en"/>
        </w:rPr>
        <w:t>.</w:t>
      </w:r>
    </w:p>
    <w:p w14:paraId="51F1AF80" w14:textId="4FF08AE5" w:rsidR="00705E53"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To make a data protection rights request,</w:t>
      </w:r>
      <w:r w:rsidR="00A200C0" w:rsidRPr="00B01709">
        <w:rPr>
          <w:rFonts w:ascii="Arial" w:eastAsia="Verdana" w:hAnsi="Arial" w:cs="Arial"/>
          <w:sz w:val="22"/>
          <w:szCs w:val="22"/>
          <w:lang w:val="en" w:eastAsia="en"/>
        </w:rPr>
        <w:t xml:space="preserve"> such as a request for your records,</w:t>
      </w:r>
      <w:r w:rsidRPr="00B01709">
        <w:rPr>
          <w:rFonts w:ascii="Arial" w:eastAsia="Verdana" w:hAnsi="Arial" w:cs="Arial"/>
          <w:sz w:val="22"/>
          <w:szCs w:val="22"/>
          <w:lang w:val="en" w:eastAsia="en"/>
        </w:rPr>
        <w:t xml:space="preserve"> please contact us using the contact details at the top of this privacy notice.</w:t>
      </w:r>
    </w:p>
    <w:p w14:paraId="524B478B" w14:textId="6D6697E4" w:rsidR="0032342E" w:rsidRPr="00B01709" w:rsidRDefault="00B01709" w:rsidP="00B01709">
      <w:pPr>
        <w:pStyle w:val="Heading3"/>
        <w:keepNext w:val="0"/>
        <w:spacing w:after="0" w:line="360" w:lineRule="atLeast"/>
        <w:jc w:val="both"/>
        <w:rPr>
          <w:rFonts w:eastAsia="Georgia"/>
          <w:sz w:val="22"/>
          <w:szCs w:val="22"/>
          <w:lang w:val="en" w:eastAsia="en"/>
        </w:rPr>
      </w:pPr>
      <w:r w:rsidRPr="00B01709">
        <w:rPr>
          <w:rFonts w:eastAsia="Georgia"/>
          <w:sz w:val="22"/>
          <w:szCs w:val="22"/>
          <w:lang w:val="en" w:eastAsia="en"/>
        </w:rPr>
        <w:t>WHAT ARE OUR LAWFUL BASES FOR THE COLLECTION AND USE OF YOUR DATA?</w:t>
      </w:r>
    </w:p>
    <w:p w14:paraId="4BF5AFE1" w14:textId="743DB41B" w:rsidR="0032342E"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Our lawful bases for collecting or using information are:</w:t>
      </w:r>
    </w:p>
    <w:p w14:paraId="5B39C6D5" w14:textId="77777777" w:rsidR="00F51DB5" w:rsidRPr="00B01709" w:rsidRDefault="00052605" w:rsidP="00B01709">
      <w:pPr>
        <w:pStyle w:val="ListParagraph"/>
        <w:numPr>
          <w:ilvl w:val="0"/>
          <w:numId w:val="5"/>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4E0B7E27" w14:textId="77777777" w:rsidR="00A200C0" w:rsidRPr="00B01709" w:rsidRDefault="00A200C0" w:rsidP="00B01709">
      <w:pPr>
        <w:pStyle w:val="ListParagraph"/>
        <w:spacing w:before="120" w:line="360" w:lineRule="atLeast"/>
        <w:ind w:left="360"/>
        <w:jc w:val="both"/>
        <w:rPr>
          <w:rFonts w:ascii="Arial" w:eastAsia="Verdana" w:hAnsi="Arial" w:cs="Arial"/>
          <w:sz w:val="22"/>
          <w:szCs w:val="22"/>
          <w:lang w:val="en" w:eastAsia="en"/>
        </w:rPr>
      </w:pPr>
    </w:p>
    <w:p w14:paraId="4922E799" w14:textId="77777777" w:rsidR="00F51DB5" w:rsidRPr="00B01709" w:rsidRDefault="00052605" w:rsidP="00B01709">
      <w:pPr>
        <w:pStyle w:val="ListParagraph"/>
        <w:numPr>
          <w:ilvl w:val="0"/>
          <w:numId w:val="5"/>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Contract – we have to collect or use the information so we can enter into or carry out a contract with you. All of your data protection rights may apply except the right to object.</w:t>
      </w:r>
    </w:p>
    <w:p w14:paraId="52486BDD" w14:textId="77777777" w:rsidR="00F51DB5" w:rsidRPr="00B01709" w:rsidRDefault="00F51DB5" w:rsidP="00B01709">
      <w:pPr>
        <w:pStyle w:val="ListParagraph"/>
        <w:spacing w:before="120" w:line="360" w:lineRule="atLeast"/>
        <w:ind w:left="360"/>
        <w:jc w:val="both"/>
        <w:rPr>
          <w:rFonts w:ascii="Arial" w:eastAsia="Verdana" w:hAnsi="Arial" w:cs="Arial"/>
          <w:sz w:val="22"/>
          <w:szCs w:val="22"/>
          <w:lang w:val="en" w:eastAsia="en"/>
        </w:rPr>
      </w:pPr>
    </w:p>
    <w:p w14:paraId="7E96EE9B" w14:textId="77777777" w:rsidR="00F51DB5" w:rsidRPr="00B01709" w:rsidRDefault="00052605" w:rsidP="00B01709">
      <w:pPr>
        <w:pStyle w:val="ListParagraph"/>
        <w:numPr>
          <w:ilvl w:val="0"/>
          <w:numId w:val="5"/>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Legal obligation – we have to collect or use your information so we can comply with the law. All of your data protection rights may apply, except the right to erasure, the right to object and the right to data portability.</w:t>
      </w:r>
    </w:p>
    <w:p w14:paraId="3630241F" w14:textId="77777777" w:rsidR="00F51DB5" w:rsidRPr="00B01709" w:rsidRDefault="00F51DB5" w:rsidP="00B01709">
      <w:pPr>
        <w:pStyle w:val="ListParagraph"/>
        <w:spacing w:before="120" w:line="360" w:lineRule="atLeast"/>
        <w:ind w:left="360"/>
        <w:jc w:val="both"/>
        <w:rPr>
          <w:rFonts w:ascii="Arial" w:eastAsia="Verdana" w:hAnsi="Arial" w:cs="Arial"/>
          <w:sz w:val="22"/>
          <w:szCs w:val="22"/>
          <w:lang w:val="en" w:eastAsia="en"/>
        </w:rPr>
      </w:pPr>
    </w:p>
    <w:p w14:paraId="52A6D3E2" w14:textId="6D6D584B" w:rsidR="00F51DB5" w:rsidRPr="00B01709" w:rsidRDefault="00052605" w:rsidP="00B01709">
      <w:pPr>
        <w:pStyle w:val="ListParagraph"/>
        <w:numPr>
          <w:ilvl w:val="0"/>
          <w:numId w:val="5"/>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Legitimate interests – we’re collecting or using your information because it benefits you, our </w:t>
      </w:r>
      <w:r w:rsidR="00E02E91" w:rsidRPr="00B01709">
        <w:rPr>
          <w:rFonts w:ascii="Arial" w:eastAsia="Verdana" w:hAnsi="Arial" w:cs="Arial"/>
          <w:sz w:val="22"/>
          <w:szCs w:val="22"/>
          <w:lang w:val="en" w:eastAsia="en"/>
        </w:rPr>
        <w:t>Practice</w:t>
      </w:r>
      <w:r w:rsidRPr="00B01709">
        <w:rPr>
          <w:rFonts w:ascii="Arial" w:eastAsia="Verdana" w:hAnsi="Arial" w:cs="Arial"/>
          <w:sz w:val="22"/>
          <w:szCs w:val="22"/>
          <w:lang w:val="en" w:eastAsia="en"/>
        </w:rPr>
        <w:t xml:space="preserve"> or someone else, without causing an undue risk of harm to anyone. All of your data protection rights may apply, except the right to portability. </w:t>
      </w:r>
    </w:p>
    <w:p w14:paraId="7CF94EDA" w14:textId="77777777" w:rsidR="00F51DB5" w:rsidRPr="00B01709" w:rsidRDefault="00F51DB5" w:rsidP="00B01709">
      <w:pPr>
        <w:pStyle w:val="ListParagraph"/>
        <w:spacing w:before="120" w:line="360" w:lineRule="atLeast"/>
        <w:ind w:left="360"/>
        <w:jc w:val="both"/>
        <w:rPr>
          <w:rFonts w:ascii="Arial" w:eastAsia="Verdana" w:hAnsi="Arial" w:cs="Arial"/>
          <w:sz w:val="22"/>
          <w:szCs w:val="22"/>
          <w:lang w:val="en" w:eastAsia="en"/>
        </w:rPr>
      </w:pPr>
    </w:p>
    <w:p w14:paraId="15F87C39" w14:textId="6FE69BF1" w:rsidR="00F51DB5" w:rsidRPr="00B01709" w:rsidRDefault="00052605" w:rsidP="00B01709">
      <w:pPr>
        <w:pStyle w:val="ListParagraph"/>
        <w:numPr>
          <w:ilvl w:val="0"/>
          <w:numId w:val="5"/>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lastRenderedPageBreak/>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2435631D" w14:textId="77777777" w:rsidR="00F51DB5" w:rsidRPr="00B01709" w:rsidRDefault="00F51DB5" w:rsidP="00B01709">
      <w:pPr>
        <w:pStyle w:val="ListParagraph"/>
        <w:spacing w:before="120" w:line="360" w:lineRule="atLeast"/>
        <w:ind w:left="360"/>
        <w:jc w:val="both"/>
        <w:rPr>
          <w:rFonts w:ascii="Arial" w:eastAsia="Verdana" w:hAnsi="Arial" w:cs="Arial"/>
          <w:sz w:val="22"/>
          <w:szCs w:val="22"/>
          <w:lang w:val="en" w:eastAsia="en"/>
        </w:rPr>
      </w:pPr>
    </w:p>
    <w:p w14:paraId="10DBBC80" w14:textId="7BA1DCC4" w:rsidR="00705E53" w:rsidRPr="00B01709" w:rsidRDefault="00052605" w:rsidP="00B01709">
      <w:pPr>
        <w:pStyle w:val="ListParagraph"/>
        <w:numPr>
          <w:ilvl w:val="0"/>
          <w:numId w:val="5"/>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Public task –</w:t>
      </w:r>
      <w:r w:rsidR="00E02E91" w:rsidRPr="00B01709">
        <w:rPr>
          <w:rFonts w:ascii="Arial" w:eastAsia="Verdana" w:hAnsi="Arial" w:cs="Arial"/>
          <w:sz w:val="22"/>
          <w:szCs w:val="22"/>
          <w:lang w:val="en" w:eastAsia="en"/>
        </w:rPr>
        <w:t xml:space="preserve"> </w:t>
      </w:r>
      <w:r w:rsidRPr="00B01709">
        <w:rPr>
          <w:rFonts w:ascii="Arial" w:eastAsia="Verdana" w:hAnsi="Arial" w:cs="Arial"/>
          <w:sz w:val="22"/>
          <w:szCs w:val="22"/>
          <w:lang w:val="en" w:eastAsia="en"/>
        </w:rPr>
        <w:t>collect</w:t>
      </w:r>
      <w:r w:rsidR="00E02E91" w:rsidRPr="00B01709">
        <w:rPr>
          <w:rFonts w:ascii="Arial" w:eastAsia="Verdana" w:hAnsi="Arial" w:cs="Arial"/>
          <w:sz w:val="22"/>
          <w:szCs w:val="22"/>
          <w:lang w:val="en" w:eastAsia="en"/>
        </w:rPr>
        <w:t>ion</w:t>
      </w:r>
      <w:r w:rsidRPr="00B01709">
        <w:rPr>
          <w:rFonts w:ascii="Arial" w:eastAsia="Verdana" w:hAnsi="Arial" w:cs="Arial"/>
          <w:sz w:val="22"/>
          <w:szCs w:val="22"/>
          <w:lang w:val="en" w:eastAsia="en"/>
        </w:rPr>
        <w:t xml:space="preserve"> or use your information</w:t>
      </w:r>
      <w:r w:rsidR="00E02E91" w:rsidRPr="00B01709">
        <w:rPr>
          <w:rFonts w:ascii="Arial" w:eastAsia="Verdana" w:hAnsi="Arial" w:cs="Arial"/>
          <w:sz w:val="22"/>
          <w:szCs w:val="22"/>
          <w:lang w:val="en" w:eastAsia="en"/>
        </w:rPr>
        <w:t xml:space="preserve"> is necessary in the exercise of official authority for GPs who carry out NHS work, namely, the provision of healthcare services</w:t>
      </w:r>
      <w:r w:rsidRPr="00B01709">
        <w:rPr>
          <w:rFonts w:ascii="Arial" w:eastAsia="Verdana" w:hAnsi="Arial" w:cs="Arial"/>
          <w:sz w:val="22"/>
          <w:szCs w:val="22"/>
          <w:lang w:val="en" w:eastAsia="en"/>
        </w:rPr>
        <w:t>. All of your data protection rights may apply, except the right to erasure and the right to portability.</w:t>
      </w:r>
    </w:p>
    <w:p w14:paraId="21993FB9" w14:textId="7B3A665A" w:rsidR="003E5629" w:rsidRPr="00B01709" w:rsidRDefault="003E5629"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Our lawful bases for collecting or using special category information are:</w:t>
      </w:r>
    </w:p>
    <w:p w14:paraId="41C80CCF" w14:textId="3380907A" w:rsidR="00821EFC" w:rsidRPr="00B01709" w:rsidRDefault="00821EFC" w:rsidP="00B01709">
      <w:pPr>
        <w:pStyle w:val="ListParagraph"/>
        <w:numPr>
          <w:ilvl w:val="0"/>
          <w:numId w:val="6"/>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Explicit consent – </w:t>
      </w:r>
      <w:r w:rsidR="0037170C" w:rsidRPr="00B01709">
        <w:rPr>
          <w:rFonts w:ascii="Arial" w:eastAsia="Verdana" w:hAnsi="Arial" w:cs="Arial"/>
          <w:sz w:val="22"/>
          <w:szCs w:val="22"/>
          <w:lang w:val="en" w:eastAsia="en"/>
        </w:rPr>
        <w:t xml:space="preserve">we have permission from you which was confirmed by way of a clear opt-in statement specifying the nature of the special category data. The explicit consent obtained is separate from any other consent we may seek from you. </w:t>
      </w:r>
    </w:p>
    <w:p w14:paraId="146C5D41" w14:textId="77777777" w:rsidR="0037170C" w:rsidRPr="00B01709" w:rsidRDefault="0037170C" w:rsidP="00B01709">
      <w:pPr>
        <w:pStyle w:val="ListParagraph"/>
        <w:spacing w:before="120" w:line="360" w:lineRule="atLeast"/>
        <w:ind w:left="360"/>
        <w:jc w:val="both"/>
        <w:rPr>
          <w:rFonts w:ascii="Arial" w:eastAsia="Verdana" w:hAnsi="Arial" w:cs="Arial"/>
          <w:sz w:val="22"/>
          <w:szCs w:val="22"/>
          <w:lang w:val="en" w:eastAsia="en"/>
        </w:rPr>
      </w:pPr>
    </w:p>
    <w:p w14:paraId="622B5075" w14:textId="080241F5" w:rsidR="00821EFC" w:rsidRPr="00B01709" w:rsidRDefault="00821EFC" w:rsidP="00B01709">
      <w:pPr>
        <w:pStyle w:val="ListParagraph"/>
        <w:numPr>
          <w:ilvl w:val="0"/>
          <w:numId w:val="6"/>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Health or social care – </w:t>
      </w:r>
      <w:r w:rsidR="0037170C" w:rsidRPr="00B01709">
        <w:rPr>
          <w:rFonts w:ascii="Arial" w:eastAsia="Verdana" w:hAnsi="Arial" w:cs="Arial"/>
          <w:sz w:val="22"/>
          <w:szCs w:val="22"/>
          <w:lang w:eastAsia="en"/>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Domestic Law or pursuant to contract with a health professional.</w:t>
      </w:r>
    </w:p>
    <w:p w14:paraId="2E065A87" w14:textId="6C04C913" w:rsidR="00705E53" w:rsidRPr="00B01709" w:rsidRDefault="00B01709" w:rsidP="00B01709">
      <w:pPr>
        <w:pStyle w:val="Heading2"/>
        <w:keepNext w:val="0"/>
        <w:spacing w:after="0" w:line="360" w:lineRule="atLeast"/>
        <w:jc w:val="both"/>
        <w:rPr>
          <w:rFonts w:eastAsia="Georgia"/>
          <w:sz w:val="22"/>
          <w:szCs w:val="22"/>
          <w:lang w:val="en" w:eastAsia="en"/>
        </w:rPr>
      </w:pPr>
      <w:bookmarkStart w:id="4" w:name="infofrom"/>
      <w:bookmarkEnd w:id="4"/>
      <w:r w:rsidRPr="00B01709">
        <w:rPr>
          <w:rFonts w:eastAsia="Georgia"/>
          <w:i w:val="0"/>
          <w:iCs w:val="0"/>
          <w:sz w:val="22"/>
          <w:szCs w:val="22"/>
          <w:lang w:val="en" w:eastAsia="en"/>
        </w:rPr>
        <w:t>WHERE DO WE GET YOUR PERSONAL INFORMATION FROM?</w:t>
      </w:r>
    </w:p>
    <w:p w14:paraId="15AFE996" w14:textId="53D1D241" w:rsidR="0037170C" w:rsidRPr="00B01709" w:rsidRDefault="008E20CC"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We will collect personal information from various sources including:</w:t>
      </w:r>
    </w:p>
    <w:p w14:paraId="6E6C8670" w14:textId="10D34FFA"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Directly from you</w:t>
      </w:r>
    </w:p>
    <w:p w14:paraId="77DBF6DE"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Regulatory authorities</w:t>
      </w:r>
    </w:p>
    <w:p w14:paraId="24E57F12"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Family members or carers</w:t>
      </w:r>
    </w:p>
    <w:p w14:paraId="34B68D74"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Other health and care providers</w:t>
      </w:r>
    </w:p>
    <w:p w14:paraId="182227ED"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Social services</w:t>
      </w:r>
    </w:p>
    <w:p w14:paraId="0C85EB42"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Charities or voluntary sector organisations</w:t>
      </w:r>
    </w:p>
    <w:p w14:paraId="5F351235"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Schools, colleges, universities or other education organisations</w:t>
      </w:r>
    </w:p>
    <w:p w14:paraId="656B268A"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Insurance companies</w:t>
      </w:r>
    </w:p>
    <w:p w14:paraId="36FF45BD"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Publicly available sources</w:t>
      </w:r>
    </w:p>
    <w:p w14:paraId="67F777F2"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Councils and other public sector organisations</w:t>
      </w:r>
    </w:p>
    <w:p w14:paraId="1742ADEA" w14:textId="77777777" w:rsidR="00705E53" w:rsidRPr="00B01709" w:rsidRDefault="00052605"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Relevant regulatory authorities</w:t>
      </w:r>
    </w:p>
    <w:p w14:paraId="7397FFFE" w14:textId="6EF9CF11" w:rsidR="00705E53" w:rsidRPr="00B01709" w:rsidRDefault="00B01709" w:rsidP="00B01709">
      <w:pPr>
        <w:pStyle w:val="Heading2"/>
        <w:keepNext w:val="0"/>
        <w:spacing w:after="0" w:line="360" w:lineRule="atLeast"/>
        <w:jc w:val="both"/>
        <w:rPr>
          <w:rFonts w:eastAsia="Georgia"/>
          <w:sz w:val="22"/>
          <w:szCs w:val="22"/>
          <w:lang w:val="en" w:eastAsia="en"/>
        </w:rPr>
      </w:pPr>
      <w:r w:rsidRPr="00B01709">
        <w:rPr>
          <w:rFonts w:eastAsia="Georgia"/>
          <w:i w:val="0"/>
          <w:iCs w:val="0"/>
          <w:sz w:val="22"/>
          <w:szCs w:val="22"/>
          <w:lang w:val="en" w:eastAsia="en"/>
        </w:rPr>
        <w:t>HOW LONG DO WE KEEP YOUR INFORMATION?</w:t>
      </w:r>
    </w:p>
    <w:p w14:paraId="00682E88" w14:textId="7140F156" w:rsidR="008B3597" w:rsidRPr="00B01709" w:rsidRDefault="00F1518F" w:rsidP="00B01709">
      <w:pPr>
        <w:spacing w:before="120" w:after="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lastRenderedPageBreak/>
        <w:t>In accordance with the Health &amp; Personal Social Services (General Medical Services Contracts) Regulations (NI) 2004, our retention schedule below sets out how long we will keep your personal information</w:t>
      </w:r>
      <w:r w:rsidR="00254EE7" w:rsidRPr="00B01709">
        <w:rPr>
          <w:rFonts w:ascii="Arial" w:eastAsia="Verdana" w:hAnsi="Arial" w:cs="Arial"/>
          <w:sz w:val="22"/>
          <w:szCs w:val="22"/>
          <w:lang w:val="en" w:eastAsia="en"/>
        </w:rPr>
        <w:t>.</w:t>
      </w:r>
    </w:p>
    <w:tbl>
      <w:tblPr>
        <w:tblStyle w:val="TableGrid"/>
        <w:tblW w:w="0" w:type="auto"/>
        <w:tblLook w:val="04A0" w:firstRow="1" w:lastRow="0" w:firstColumn="1" w:lastColumn="0" w:noHBand="0" w:noVBand="1"/>
      </w:tblPr>
      <w:tblGrid>
        <w:gridCol w:w="2830"/>
        <w:gridCol w:w="6186"/>
      </w:tblGrid>
      <w:tr w:rsidR="008B3597" w:rsidRPr="00B01709" w14:paraId="21DB71AF" w14:textId="77777777" w:rsidTr="008B3597">
        <w:trPr>
          <w:trHeight w:val="347"/>
        </w:trPr>
        <w:tc>
          <w:tcPr>
            <w:tcW w:w="2830" w:type="dxa"/>
          </w:tcPr>
          <w:p w14:paraId="23007BE7" w14:textId="77777777" w:rsidR="008B3597" w:rsidRPr="00B01709" w:rsidRDefault="008B3597" w:rsidP="00B01709">
            <w:pPr>
              <w:spacing w:before="120" w:line="360" w:lineRule="atLeast"/>
              <w:jc w:val="both"/>
              <w:rPr>
                <w:rFonts w:ascii="Arial" w:eastAsia="Verdana" w:hAnsi="Arial" w:cs="Arial"/>
                <w:b/>
                <w:bCs/>
                <w:sz w:val="22"/>
                <w:szCs w:val="22"/>
                <w:lang w:val="en" w:eastAsia="en"/>
              </w:rPr>
            </w:pPr>
            <w:r w:rsidRPr="00B01709">
              <w:rPr>
                <w:rFonts w:ascii="Arial" w:eastAsia="Verdana" w:hAnsi="Arial" w:cs="Arial"/>
                <w:b/>
                <w:bCs/>
                <w:sz w:val="22"/>
                <w:szCs w:val="22"/>
                <w:lang w:val="en" w:eastAsia="en"/>
              </w:rPr>
              <w:t>Record Type</w:t>
            </w:r>
          </w:p>
          <w:p w14:paraId="7F54D46F" w14:textId="128F8C01" w:rsidR="008B3597" w:rsidRPr="00B01709" w:rsidRDefault="008B3597" w:rsidP="00B01709">
            <w:pPr>
              <w:spacing w:before="120" w:line="360" w:lineRule="atLeast"/>
              <w:jc w:val="both"/>
              <w:rPr>
                <w:rFonts w:ascii="Arial" w:eastAsia="Verdana" w:hAnsi="Arial" w:cs="Arial"/>
                <w:b/>
                <w:bCs/>
                <w:sz w:val="22"/>
                <w:szCs w:val="22"/>
                <w:lang w:val="en" w:eastAsia="en"/>
              </w:rPr>
            </w:pPr>
          </w:p>
        </w:tc>
        <w:tc>
          <w:tcPr>
            <w:tcW w:w="6186" w:type="dxa"/>
          </w:tcPr>
          <w:p w14:paraId="1CB5B20A" w14:textId="77777777" w:rsidR="008B3597" w:rsidRPr="00B01709" w:rsidRDefault="008B3597" w:rsidP="00B01709">
            <w:pPr>
              <w:spacing w:before="120" w:line="360" w:lineRule="atLeast"/>
              <w:jc w:val="both"/>
              <w:rPr>
                <w:rFonts w:ascii="Arial" w:eastAsia="Verdana" w:hAnsi="Arial" w:cs="Arial"/>
                <w:b/>
                <w:bCs/>
                <w:sz w:val="22"/>
                <w:szCs w:val="22"/>
                <w:lang w:val="en" w:eastAsia="en"/>
              </w:rPr>
            </w:pPr>
            <w:r w:rsidRPr="00B01709">
              <w:rPr>
                <w:rFonts w:ascii="Arial" w:eastAsia="Verdana" w:hAnsi="Arial" w:cs="Arial"/>
                <w:b/>
                <w:bCs/>
                <w:sz w:val="22"/>
                <w:szCs w:val="22"/>
                <w:lang w:val="en" w:eastAsia="en"/>
              </w:rPr>
              <w:t>Minimum Retention Period</w:t>
            </w:r>
          </w:p>
          <w:p w14:paraId="7466ABD8" w14:textId="18618F10" w:rsidR="008B3597" w:rsidRPr="00B01709" w:rsidRDefault="008B3597" w:rsidP="00B01709">
            <w:pPr>
              <w:spacing w:before="120" w:line="360" w:lineRule="atLeast"/>
              <w:jc w:val="both"/>
              <w:rPr>
                <w:rFonts w:ascii="Arial" w:eastAsia="Verdana" w:hAnsi="Arial" w:cs="Arial"/>
                <w:b/>
                <w:bCs/>
                <w:sz w:val="22"/>
                <w:szCs w:val="22"/>
                <w:lang w:val="en" w:eastAsia="en"/>
              </w:rPr>
            </w:pPr>
            <w:r w:rsidRPr="00B01709">
              <w:rPr>
                <w:rFonts w:ascii="Arial" w:eastAsia="Verdana" w:hAnsi="Arial" w:cs="Arial"/>
                <w:b/>
                <w:bCs/>
                <w:sz w:val="22"/>
                <w:szCs w:val="22"/>
                <w:lang w:val="en" w:eastAsia="en"/>
              </w:rPr>
              <w:t>The minimum retention period is the minimum period the records described should be retained for.</w:t>
            </w:r>
          </w:p>
        </w:tc>
      </w:tr>
      <w:tr w:rsidR="008B3597" w:rsidRPr="00B01709" w14:paraId="36D9987D" w14:textId="77777777" w:rsidTr="008B3597">
        <w:trPr>
          <w:trHeight w:val="347"/>
        </w:trPr>
        <w:tc>
          <w:tcPr>
            <w:tcW w:w="2830" w:type="dxa"/>
          </w:tcPr>
          <w:p w14:paraId="2AB328D3" w14:textId="4E795F7D" w:rsidR="008B3597" w:rsidRPr="00B01709" w:rsidRDefault="008B3597"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GP Medical Records</w:t>
            </w:r>
          </w:p>
        </w:tc>
        <w:tc>
          <w:tcPr>
            <w:tcW w:w="6186" w:type="dxa"/>
          </w:tcPr>
          <w:p w14:paraId="1D31DD20" w14:textId="60340F65" w:rsidR="008B3597" w:rsidRPr="00B01709" w:rsidRDefault="00D0129C"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GP</w:t>
            </w:r>
            <w:r w:rsidR="008B3597" w:rsidRPr="00B01709">
              <w:rPr>
                <w:rFonts w:ascii="Arial" w:eastAsia="Verdana" w:hAnsi="Arial" w:cs="Arial"/>
                <w:sz w:val="22"/>
                <w:szCs w:val="22"/>
                <w:lang w:val="en" w:eastAsia="en"/>
              </w:rPr>
              <w:t xml:space="preserve"> Medical Records </w:t>
            </w:r>
            <w:r w:rsidRPr="00B01709">
              <w:rPr>
                <w:rFonts w:ascii="Arial" w:eastAsia="Verdana" w:hAnsi="Arial" w:cs="Arial"/>
                <w:sz w:val="22"/>
                <w:szCs w:val="22"/>
                <w:lang w:val="en" w:eastAsia="en"/>
              </w:rPr>
              <w:t>will</w:t>
            </w:r>
            <w:r w:rsidR="008B3597" w:rsidRPr="00B01709">
              <w:rPr>
                <w:rFonts w:ascii="Arial" w:eastAsia="Verdana" w:hAnsi="Arial" w:cs="Arial"/>
                <w:sz w:val="22"/>
                <w:szCs w:val="22"/>
                <w:lang w:val="en" w:eastAsia="en"/>
              </w:rPr>
              <w:t xml:space="preserve"> be returned to the </w:t>
            </w:r>
            <w:r w:rsidR="00543FE8" w:rsidRPr="00B01709">
              <w:rPr>
                <w:rFonts w:ascii="Arial" w:eastAsia="Verdana" w:hAnsi="Arial" w:cs="Arial"/>
                <w:sz w:val="22"/>
                <w:szCs w:val="22"/>
                <w:lang w:val="en" w:eastAsia="en"/>
              </w:rPr>
              <w:t>Department</w:t>
            </w:r>
            <w:r w:rsidR="00F1518F" w:rsidRPr="00B01709">
              <w:rPr>
                <w:rFonts w:ascii="Arial" w:eastAsia="Verdana" w:hAnsi="Arial" w:cs="Arial"/>
                <w:sz w:val="22"/>
                <w:szCs w:val="22"/>
                <w:lang w:val="en" w:eastAsia="en"/>
              </w:rPr>
              <w:t xml:space="preserve"> of Health (the “</w:t>
            </w:r>
            <w:r w:rsidR="00F1518F" w:rsidRPr="00B01709">
              <w:rPr>
                <w:rFonts w:ascii="Arial" w:eastAsia="Verdana" w:hAnsi="Arial" w:cs="Arial"/>
                <w:b/>
                <w:bCs/>
                <w:sz w:val="22"/>
                <w:szCs w:val="22"/>
                <w:lang w:val="en" w:eastAsia="en"/>
              </w:rPr>
              <w:t>Department</w:t>
            </w:r>
            <w:r w:rsidR="00F1518F" w:rsidRPr="00B01709">
              <w:rPr>
                <w:rFonts w:ascii="Arial" w:eastAsia="Verdana" w:hAnsi="Arial" w:cs="Arial"/>
                <w:sz w:val="22"/>
                <w:szCs w:val="22"/>
                <w:lang w:val="en" w:eastAsia="en"/>
              </w:rPr>
              <w:t>”)</w:t>
            </w:r>
            <w:r w:rsidR="00543FE8" w:rsidRPr="00B01709">
              <w:rPr>
                <w:rFonts w:ascii="Arial" w:eastAsia="Verdana" w:hAnsi="Arial" w:cs="Arial"/>
                <w:sz w:val="22"/>
                <w:szCs w:val="22"/>
                <w:lang w:val="en" w:eastAsia="en"/>
              </w:rPr>
              <w:t xml:space="preserve"> </w:t>
            </w:r>
            <w:r w:rsidR="008B3597" w:rsidRPr="00B01709">
              <w:rPr>
                <w:rFonts w:ascii="Arial" w:eastAsia="Verdana" w:hAnsi="Arial" w:cs="Arial"/>
                <w:sz w:val="22"/>
                <w:szCs w:val="22"/>
                <w:lang w:val="en" w:eastAsia="en"/>
              </w:rPr>
              <w:t>when:</w:t>
            </w:r>
          </w:p>
          <w:p w14:paraId="4068D897" w14:textId="77777777" w:rsidR="008B3597" w:rsidRPr="00B01709" w:rsidRDefault="008B3597"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a patient dies</w:t>
            </w:r>
          </w:p>
          <w:p w14:paraId="2D49C8EE" w14:textId="414B75DF" w:rsidR="008B3597" w:rsidRPr="00B01709" w:rsidRDefault="008B3597" w:rsidP="00B01709">
            <w:pPr>
              <w:pStyle w:val="ListParagraph"/>
              <w:numPr>
                <w:ilvl w:val="0"/>
                <w:numId w:val="3"/>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the person is no longer a patient of </w:t>
            </w:r>
            <w:r w:rsidR="00F1518F" w:rsidRPr="00B01709">
              <w:rPr>
                <w:rFonts w:ascii="Arial" w:eastAsia="Verdana" w:hAnsi="Arial" w:cs="Arial"/>
                <w:sz w:val="22"/>
                <w:szCs w:val="22"/>
                <w:lang w:val="en" w:eastAsia="en"/>
              </w:rPr>
              <w:t>a</w:t>
            </w:r>
            <w:r w:rsidRPr="00B01709">
              <w:rPr>
                <w:rFonts w:ascii="Arial" w:eastAsia="Verdana" w:hAnsi="Arial" w:cs="Arial"/>
                <w:sz w:val="22"/>
                <w:szCs w:val="22"/>
                <w:lang w:val="en" w:eastAsia="en"/>
              </w:rPr>
              <w:t xml:space="preserve"> GP</w:t>
            </w:r>
            <w:r w:rsidR="00F1518F" w:rsidRPr="00B01709">
              <w:rPr>
                <w:rFonts w:ascii="Arial" w:eastAsia="Verdana" w:hAnsi="Arial" w:cs="Arial"/>
                <w:sz w:val="22"/>
                <w:szCs w:val="22"/>
                <w:lang w:val="en" w:eastAsia="en"/>
              </w:rPr>
              <w:t xml:space="preserve"> at the Practice</w:t>
            </w:r>
          </w:p>
          <w:p w14:paraId="02AE2B7B" w14:textId="50CC603C" w:rsidR="008B3597" w:rsidRPr="00B01709" w:rsidRDefault="00D0129C"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GP</w:t>
            </w:r>
            <w:r w:rsidR="008B3597" w:rsidRPr="00B01709">
              <w:rPr>
                <w:rFonts w:ascii="Arial" w:eastAsia="Verdana" w:hAnsi="Arial" w:cs="Arial"/>
                <w:sz w:val="22"/>
                <w:szCs w:val="22"/>
                <w:lang w:val="en" w:eastAsia="en"/>
              </w:rPr>
              <w:t xml:space="preserve"> </w:t>
            </w:r>
            <w:r w:rsidR="00F1518F" w:rsidRPr="00B01709">
              <w:rPr>
                <w:rFonts w:ascii="Arial" w:eastAsia="Verdana" w:hAnsi="Arial" w:cs="Arial"/>
                <w:sz w:val="22"/>
                <w:szCs w:val="22"/>
                <w:lang w:val="en" w:eastAsia="en"/>
              </w:rPr>
              <w:t xml:space="preserve">Medical </w:t>
            </w:r>
            <w:r w:rsidR="008B3597" w:rsidRPr="00B01709">
              <w:rPr>
                <w:rFonts w:ascii="Arial" w:eastAsia="Verdana" w:hAnsi="Arial" w:cs="Arial"/>
                <w:sz w:val="22"/>
                <w:szCs w:val="22"/>
                <w:lang w:val="en" w:eastAsia="en"/>
              </w:rPr>
              <w:t xml:space="preserve">Records </w:t>
            </w:r>
            <w:r w:rsidR="00F1518F" w:rsidRPr="00B01709">
              <w:rPr>
                <w:rFonts w:ascii="Arial" w:eastAsia="Verdana" w:hAnsi="Arial" w:cs="Arial"/>
                <w:sz w:val="22"/>
                <w:szCs w:val="22"/>
                <w:lang w:val="en" w:eastAsia="en"/>
              </w:rPr>
              <w:t>will</w:t>
            </w:r>
            <w:r w:rsidR="008B3597" w:rsidRPr="00B01709">
              <w:rPr>
                <w:rFonts w:ascii="Arial" w:eastAsia="Verdana" w:hAnsi="Arial" w:cs="Arial"/>
                <w:sz w:val="22"/>
                <w:szCs w:val="22"/>
                <w:lang w:val="en" w:eastAsia="en"/>
              </w:rPr>
              <w:t xml:space="preserve"> be held by the </w:t>
            </w:r>
            <w:r w:rsidR="00543FE8" w:rsidRPr="00B01709">
              <w:rPr>
                <w:rFonts w:ascii="Arial" w:eastAsia="Verdana" w:hAnsi="Arial" w:cs="Arial"/>
                <w:sz w:val="22"/>
                <w:szCs w:val="22"/>
                <w:lang w:val="en" w:eastAsia="en"/>
              </w:rPr>
              <w:t>Department</w:t>
            </w:r>
            <w:r w:rsidR="008B3597" w:rsidRPr="00B01709">
              <w:rPr>
                <w:rFonts w:ascii="Arial" w:eastAsia="Verdana" w:hAnsi="Arial" w:cs="Arial"/>
                <w:sz w:val="22"/>
                <w:szCs w:val="22"/>
                <w:lang w:val="en" w:eastAsia="en"/>
              </w:rPr>
              <w:t xml:space="preserve"> other than the records listed below for 10 years after death or after the patient has permanently left the country unless the patient remains in the European Union.</w:t>
            </w:r>
          </w:p>
          <w:p w14:paraId="3631FD92" w14:textId="5C16B6CE" w:rsidR="008B3597" w:rsidRPr="00B01709" w:rsidRDefault="008B3597" w:rsidP="00B01709">
            <w:pPr>
              <w:spacing w:before="120" w:line="360" w:lineRule="atLeast"/>
              <w:jc w:val="both"/>
              <w:rPr>
                <w:rFonts w:ascii="Arial" w:eastAsia="Verdana" w:hAnsi="Arial" w:cs="Arial"/>
                <w:b/>
                <w:bCs/>
                <w:sz w:val="22"/>
                <w:szCs w:val="22"/>
                <w:lang w:val="en" w:eastAsia="en"/>
              </w:rPr>
            </w:pPr>
            <w:r w:rsidRPr="00B01709">
              <w:rPr>
                <w:rFonts w:ascii="Arial" w:eastAsia="Verdana" w:hAnsi="Arial" w:cs="Arial"/>
                <w:sz w:val="22"/>
                <w:szCs w:val="22"/>
                <w:lang w:val="en" w:eastAsia="en"/>
              </w:rPr>
              <w:t xml:space="preserve">In the case of a child if the illness or death could have potential relevance to adult conditions or have genetic implications for the family of the deceased, the advice of clinicians </w:t>
            </w:r>
            <w:r w:rsidR="00F1518F" w:rsidRPr="00B01709">
              <w:rPr>
                <w:rFonts w:ascii="Arial" w:eastAsia="Verdana" w:hAnsi="Arial" w:cs="Arial"/>
                <w:sz w:val="22"/>
                <w:szCs w:val="22"/>
                <w:lang w:val="en" w:eastAsia="en"/>
              </w:rPr>
              <w:t>will</w:t>
            </w:r>
            <w:r w:rsidRPr="00B01709">
              <w:rPr>
                <w:rFonts w:ascii="Arial" w:eastAsia="Verdana" w:hAnsi="Arial" w:cs="Arial"/>
                <w:sz w:val="22"/>
                <w:szCs w:val="22"/>
                <w:lang w:val="en" w:eastAsia="en"/>
              </w:rPr>
              <w:t xml:space="preserve"> be sought as to whether to retain the records for a longer period.</w:t>
            </w:r>
          </w:p>
        </w:tc>
      </w:tr>
      <w:tr w:rsidR="00704392" w:rsidRPr="00B01709" w14:paraId="435AF76B" w14:textId="77777777" w:rsidTr="008B3597">
        <w:trPr>
          <w:trHeight w:val="347"/>
        </w:trPr>
        <w:tc>
          <w:tcPr>
            <w:tcW w:w="2830" w:type="dxa"/>
          </w:tcPr>
          <w:p w14:paraId="6325A177" w14:textId="17E29BBD"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GP Medical Records - Maternity records</w:t>
            </w:r>
          </w:p>
        </w:tc>
        <w:tc>
          <w:tcPr>
            <w:tcW w:w="6186" w:type="dxa"/>
          </w:tcPr>
          <w:p w14:paraId="35B0312A" w14:textId="77F7531B"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25 years after last live birth.</w:t>
            </w:r>
          </w:p>
        </w:tc>
      </w:tr>
      <w:tr w:rsidR="00704392" w:rsidRPr="00B01709" w14:paraId="4B4E1995" w14:textId="77777777" w:rsidTr="008B3597">
        <w:trPr>
          <w:trHeight w:val="347"/>
        </w:trPr>
        <w:tc>
          <w:tcPr>
            <w:tcW w:w="2830" w:type="dxa"/>
          </w:tcPr>
          <w:p w14:paraId="1DD371A2" w14:textId="420AF8D2"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GP Medical Records - Records relating to persons receiving treatment for a mental disorder within the meaning of the Mental Health (Northern Ireland) Order 1986</w:t>
            </w:r>
          </w:p>
        </w:tc>
        <w:tc>
          <w:tcPr>
            <w:tcW w:w="6186" w:type="dxa"/>
          </w:tcPr>
          <w:p w14:paraId="4BC3C848" w14:textId="77777777"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20 years after the date of the last contact; or 10 years after patient’s death if sooner.</w:t>
            </w:r>
          </w:p>
          <w:p w14:paraId="53BB162A" w14:textId="3136834F" w:rsidR="00704392" w:rsidRPr="00B01709" w:rsidRDefault="00F1518F"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We</w:t>
            </w:r>
            <w:r w:rsidR="00704392" w:rsidRPr="00B01709">
              <w:rPr>
                <w:rFonts w:ascii="Arial" w:eastAsia="Verdana" w:hAnsi="Arial" w:cs="Arial"/>
                <w:sz w:val="22"/>
                <w:szCs w:val="22"/>
                <w:lang w:val="en" w:eastAsia="en"/>
              </w:rPr>
              <w:t xml:space="preserve"> may wish to keep mental health records for up to 30 years before review. They must be kept as complete records for the first 20 years, but records may then be summarised and kept in summary format for the additional 10-year period.</w:t>
            </w:r>
          </w:p>
        </w:tc>
      </w:tr>
      <w:tr w:rsidR="00704392" w:rsidRPr="00B01709" w14:paraId="0F3FF152" w14:textId="77777777" w:rsidTr="008B3597">
        <w:trPr>
          <w:trHeight w:val="347"/>
        </w:trPr>
        <w:tc>
          <w:tcPr>
            <w:tcW w:w="2830" w:type="dxa"/>
          </w:tcPr>
          <w:p w14:paraId="5C8C6439" w14:textId="3EDE8ED7"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GP Medical Records, relating to HM Armed Forces. This refers to GP records of serving military personnel that were in existence prior to them enlisting.</w:t>
            </w:r>
          </w:p>
        </w:tc>
        <w:tc>
          <w:tcPr>
            <w:tcW w:w="6186" w:type="dxa"/>
          </w:tcPr>
          <w:p w14:paraId="1D692972" w14:textId="37A33BE1"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GP Medical Records </w:t>
            </w:r>
            <w:r w:rsidR="00D0129C" w:rsidRPr="00B01709">
              <w:rPr>
                <w:rFonts w:ascii="Arial" w:eastAsia="Verdana" w:hAnsi="Arial" w:cs="Arial"/>
                <w:sz w:val="22"/>
                <w:szCs w:val="22"/>
                <w:lang w:val="en" w:eastAsia="en"/>
              </w:rPr>
              <w:t>will</w:t>
            </w:r>
            <w:r w:rsidRPr="00B01709">
              <w:rPr>
                <w:rFonts w:ascii="Arial" w:eastAsia="Verdana" w:hAnsi="Arial" w:cs="Arial"/>
                <w:sz w:val="22"/>
                <w:szCs w:val="22"/>
                <w:lang w:val="en" w:eastAsia="en"/>
              </w:rPr>
              <w:t xml:space="preserve"> be returned to the </w:t>
            </w:r>
            <w:r w:rsidR="00F1518F" w:rsidRPr="00B01709">
              <w:rPr>
                <w:rFonts w:ascii="Arial" w:eastAsia="Verdana" w:hAnsi="Arial" w:cs="Arial"/>
                <w:sz w:val="22"/>
                <w:szCs w:val="22"/>
                <w:lang w:val="en" w:eastAsia="en"/>
              </w:rPr>
              <w:t>Department</w:t>
            </w:r>
            <w:r w:rsidRPr="00B01709">
              <w:rPr>
                <w:rFonts w:ascii="Arial" w:eastAsia="Verdana" w:hAnsi="Arial" w:cs="Arial"/>
                <w:sz w:val="22"/>
                <w:szCs w:val="22"/>
                <w:lang w:val="en" w:eastAsia="en"/>
              </w:rPr>
              <w:t xml:space="preserve"> when a patient becomes a member of HM Armed Forces. The medical records </w:t>
            </w:r>
            <w:r w:rsidR="00D0129C" w:rsidRPr="00B01709">
              <w:rPr>
                <w:rFonts w:ascii="Arial" w:eastAsia="Verdana" w:hAnsi="Arial" w:cs="Arial"/>
                <w:sz w:val="22"/>
                <w:szCs w:val="22"/>
                <w:lang w:val="en" w:eastAsia="en"/>
              </w:rPr>
              <w:t>will</w:t>
            </w:r>
            <w:r w:rsidRPr="00B01709">
              <w:rPr>
                <w:rFonts w:ascii="Arial" w:eastAsia="Verdana" w:hAnsi="Arial" w:cs="Arial"/>
                <w:sz w:val="22"/>
                <w:szCs w:val="22"/>
                <w:lang w:val="en" w:eastAsia="en"/>
              </w:rPr>
              <w:t xml:space="preserve"> be marked “not for destruction” within the </w:t>
            </w:r>
            <w:r w:rsidR="00F1518F" w:rsidRPr="00B01709">
              <w:rPr>
                <w:rFonts w:ascii="Arial" w:eastAsia="Verdana" w:hAnsi="Arial" w:cs="Arial"/>
                <w:sz w:val="22"/>
                <w:szCs w:val="22"/>
                <w:lang w:val="en" w:eastAsia="en"/>
              </w:rPr>
              <w:t>Department</w:t>
            </w:r>
            <w:r w:rsidRPr="00B01709">
              <w:rPr>
                <w:rFonts w:ascii="Arial" w:eastAsia="Verdana" w:hAnsi="Arial" w:cs="Arial"/>
                <w:sz w:val="22"/>
                <w:szCs w:val="22"/>
                <w:lang w:val="en" w:eastAsia="en"/>
              </w:rPr>
              <w:t>.</w:t>
            </w:r>
          </w:p>
          <w:p w14:paraId="6667CDCF" w14:textId="77777777"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The Ministry of Defence (MoD) retains a copy of the records relating to service medical history. The patient may request a </w:t>
            </w:r>
            <w:r w:rsidRPr="00B01709">
              <w:rPr>
                <w:rFonts w:ascii="Arial" w:eastAsia="Verdana" w:hAnsi="Arial" w:cs="Arial"/>
                <w:sz w:val="22"/>
                <w:szCs w:val="22"/>
                <w:lang w:val="en" w:eastAsia="en"/>
              </w:rPr>
              <w:lastRenderedPageBreak/>
              <w:t>copy of these under the Data Protection Act (DPA), and may, if they choose, give them to their GP. GPs should also receive summary records when ex-Service personnel register with them.</w:t>
            </w:r>
          </w:p>
          <w:p w14:paraId="10EDD639" w14:textId="374F5E68"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What GPs do with them then is a matter for their professional judgement, taking into account clinical need and DPA requirements – they should not, for example, retain information that is not relevant to their clinical care of the patient.</w:t>
            </w:r>
          </w:p>
        </w:tc>
      </w:tr>
      <w:tr w:rsidR="00704392" w:rsidRPr="00B01709" w14:paraId="70C73DBD" w14:textId="77777777" w:rsidTr="008B3597">
        <w:trPr>
          <w:trHeight w:val="347"/>
        </w:trPr>
        <w:tc>
          <w:tcPr>
            <w:tcW w:w="2830" w:type="dxa"/>
          </w:tcPr>
          <w:p w14:paraId="0D94F535" w14:textId="728E324E"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lastRenderedPageBreak/>
              <w:t>GP Medical Records, relating to HM Armed Forces. This refers to GP records of serving military personnel that were in existence prior to them enlisting and held by</w:t>
            </w:r>
            <w:r w:rsidR="00F1518F" w:rsidRPr="00B01709">
              <w:rPr>
                <w:rFonts w:ascii="Arial" w:eastAsia="Verdana" w:hAnsi="Arial" w:cs="Arial"/>
                <w:sz w:val="22"/>
                <w:szCs w:val="22"/>
                <w:lang w:val="en" w:eastAsia="en"/>
              </w:rPr>
              <w:t xml:space="preserve"> Department</w:t>
            </w:r>
            <w:r w:rsidRPr="00B01709">
              <w:rPr>
                <w:rFonts w:ascii="Arial" w:eastAsia="Verdana" w:hAnsi="Arial" w:cs="Arial"/>
                <w:sz w:val="22"/>
                <w:szCs w:val="22"/>
                <w:lang w:val="en" w:eastAsia="en"/>
              </w:rPr>
              <w:t>.</w:t>
            </w:r>
          </w:p>
        </w:tc>
        <w:tc>
          <w:tcPr>
            <w:tcW w:w="6186" w:type="dxa"/>
          </w:tcPr>
          <w:p w14:paraId="268FAC07" w14:textId="098947D3"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These records should not be destroyed, however if the </w:t>
            </w:r>
            <w:r w:rsidR="00F1518F" w:rsidRPr="00B01709">
              <w:rPr>
                <w:rFonts w:ascii="Arial" w:eastAsia="Verdana" w:hAnsi="Arial" w:cs="Arial"/>
                <w:sz w:val="22"/>
                <w:szCs w:val="22"/>
                <w:lang w:val="en" w:eastAsia="en"/>
              </w:rPr>
              <w:t>Department</w:t>
            </w:r>
            <w:r w:rsidRPr="00B01709">
              <w:rPr>
                <w:rFonts w:ascii="Arial" w:eastAsia="Verdana" w:hAnsi="Arial" w:cs="Arial"/>
                <w:sz w:val="22"/>
                <w:szCs w:val="22"/>
                <w:lang w:val="en" w:eastAsia="en"/>
              </w:rPr>
              <w:t xml:space="preserve"> is notified of the death of such a patient the “not for destruction” marking should be removed and the records retained for 10 years after death.</w:t>
            </w:r>
          </w:p>
        </w:tc>
      </w:tr>
      <w:tr w:rsidR="00704392" w:rsidRPr="00B01709" w14:paraId="47396E22" w14:textId="77777777" w:rsidTr="008B3597">
        <w:trPr>
          <w:trHeight w:val="347"/>
        </w:trPr>
        <w:tc>
          <w:tcPr>
            <w:tcW w:w="2830" w:type="dxa"/>
          </w:tcPr>
          <w:p w14:paraId="7C28A1ED" w14:textId="70663741"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GP Electronic Patient Record including those serving a period of imprisonment and Out of Hours Services</w:t>
            </w:r>
          </w:p>
        </w:tc>
        <w:tc>
          <w:tcPr>
            <w:tcW w:w="6186" w:type="dxa"/>
          </w:tcPr>
          <w:p w14:paraId="3DD8F4F0" w14:textId="44A9323B"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GPs must not destroy or delete their electronic patient records for the foreseeable future, unless and until such times as these records are transferrable in their entirety (including the audit trail) between clinical systems and from a GP system to the </w:t>
            </w:r>
            <w:r w:rsidR="00F1518F" w:rsidRPr="00B01709">
              <w:rPr>
                <w:rFonts w:ascii="Arial" w:eastAsia="Verdana" w:hAnsi="Arial" w:cs="Arial"/>
                <w:sz w:val="22"/>
                <w:szCs w:val="22"/>
                <w:lang w:val="en" w:eastAsia="en"/>
              </w:rPr>
              <w:t>Department</w:t>
            </w:r>
            <w:r w:rsidRPr="00B01709">
              <w:rPr>
                <w:rFonts w:ascii="Arial" w:eastAsia="Verdana" w:hAnsi="Arial" w:cs="Arial"/>
                <w:sz w:val="22"/>
                <w:szCs w:val="22"/>
                <w:lang w:val="en" w:eastAsia="en"/>
              </w:rPr>
              <w:t>.</w:t>
            </w:r>
          </w:p>
        </w:tc>
      </w:tr>
      <w:tr w:rsidR="00704392" w:rsidRPr="00B01709" w14:paraId="4DB12B5B" w14:textId="77777777" w:rsidTr="008B3597">
        <w:trPr>
          <w:trHeight w:val="347"/>
        </w:trPr>
        <w:tc>
          <w:tcPr>
            <w:tcW w:w="2830" w:type="dxa"/>
          </w:tcPr>
          <w:p w14:paraId="0808F486" w14:textId="109B41F6"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GP Medical Records of those serving a prison sentence of more than 2 years, in existence prior to their imprisonment</w:t>
            </w:r>
          </w:p>
        </w:tc>
        <w:tc>
          <w:tcPr>
            <w:tcW w:w="6186" w:type="dxa"/>
          </w:tcPr>
          <w:p w14:paraId="3AC00BE7" w14:textId="08E02767"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GP Medical Records relating to those serving a prison sentence of more than two years should be sent to the </w:t>
            </w:r>
            <w:r w:rsidR="00F1518F" w:rsidRPr="00B01709">
              <w:rPr>
                <w:rFonts w:ascii="Arial" w:eastAsia="Verdana" w:hAnsi="Arial" w:cs="Arial"/>
                <w:sz w:val="22"/>
                <w:szCs w:val="22"/>
                <w:lang w:val="en" w:eastAsia="en"/>
              </w:rPr>
              <w:t>Department</w:t>
            </w:r>
          </w:p>
          <w:p w14:paraId="74956033" w14:textId="530B982D"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The </w:t>
            </w:r>
            <w:r w:rsidR="00F1518F" w:rsidRPr="00B01709">
              <w:rPr>
                <w:rFonts w:ascii="Arial" w:eastAsia="Verdana" w:hAnsi="Arial" w:cs="Arial"/>
                <w:sz w:val="22"/>
                <w:szCs w:val="22"/>
                <w:lang w:val="en" w:eastAsia="en"/>
              </w:rPr>
              <w:t>Department</w:t>
            </w:r>
            <w:r w:rsidRPr="00B01709">
              <w:rPr>
                <w:rFonts w:ascii="Arial" w:eastAsia="Verdana" w:hAnsi="Arial" w:cs="Arial"/>
                <w:sz w:val="22"/>
                <w:szCs w:val="22"/>
                <w:lang w:val="en" w:eastAsia="en"/>
              </w:rPr>
              <w:t xml:space="preserve"> should mark the records “not for destruction”.</w:t>
            </w:r>
          </w:p>
          <w:p w14:paraId="5A997F30" w14:textId="4D9532A1" w:rsidR="00704392" w:rsidRPr="00B01709" w:rsidRDefault="00704392"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If the </w:t>
            </w:r>
            <w:r w:rsidR="00F1518F" w:rsidRPr="00B01709">
              <w:rPr>
                <w:rFonts w:ascii="Arial" w:eastAsia="Verdana" w:hAnsi="Arial" w:cs="Arial"/>
                <w:sz w:val="22"/>
                <w:szCs w:val="22"/>
                <w:lang w:val="en" w:eastAsia="en"/>
              </w:rPr>
              <w:t>Department</w:t>
            </w:r>
            <w:r w:rsidRPr="00B01709">
              <w:rPr>
                <w:rFonts w:ascii="Arial" w:eastAsia="Verdana" w:hAnsi="Arial" w:cs="Arial"/>
                <w:sz w:val="22"/>
                <w:szCs w:val="22"/>
                <w:lang w:val="en" w:eastAsia="en"/>
              </w:rPr>
              <w:t xml:space="preserve"> is notified of the death of such a patient the “not for destruction” marking should be removed and the records retained in the same way as for any other deceased patient.</w:t>
            </w:r>
          </w:p>
        </w:tc>
      </w:tr>
    </w:tbl>
    <w:p w14:paraId="3402107B" w14:textId="425A20FB" w:rsidR="00705E53" w:rsidRPr="00B01709" w:rsidRDefault="004F3BF9" w:rsidP="00B01709">
      <w:pPr>
        <w:pStyle w:val="Heading2"/>
        <w:keepNext w:val="0"/>
        <w:spacing w:after="0" w:line="360" w:lineRule="atLeast"/>
        <w:jc w:val="both"/>
        <w:rPr>
          <w:rFonts w:eastAsia="Georgia"/>
          <w:sz w:val="22"/>
          <w:szCs w:val="22"/>
          <w:lang w:val="en" w:eastAsia="en"/>
        </w:rPr>
      </w:pPr>
      <w:r w:rsidRPr="00B01709">
        <w:rPr>
          <w:rFonts w:eastAsia="Georgia"/>
          <w:i w:val="0"/>
          <w:iCs w:val="0"/>
          <w:sz w:val="22"/>
          <w:szCs w:val="22"/>
          <w:lang w:val="en" w:eastAsia="en"/>
        </w:rPr>
        <w:t>WHO DO WE SHARE YOUR INFORMATION WITH?</w:t>
      </w:r>
    </w:p>
    <w:p w14:paraId="65ED1ABA" w14:textId="28C7AEBA" w:rsidR="00705E53" w:rsidRPr="00B01709" w:rsidRDefault="009B5AD4" w:rsidP="00B01709">
      <w:pPr>
        <w:pStyle w:val="Heading3"/>
        <w:keepNext w:val="0"/>
        <w:spacing w:before="120" w:after="0" w:line="360" w:lineRule="atLeast"/>
        <w:jc w:val="both"/>
        <w:rPr>
          <w:rFonts w:eastAsia="Georgia"/>
          <w:b w:val="0"/>
          <w:bCs w:val="0"/>
          <w:sz w:val="22"/>
          <w:szCs w:val="22"/>
          <w:lang w:val="en" w:eastAsia="en"/>
        </w:rPr>
      </w:pPr>
      <w:r w:rsidRPr="00B01709">
        <w:rPr>
          <w:rFonts w:eastAsia="Georgia"/>
          <w:b w:val="0"/>
          <w:bCs w:val="0"/>
          <w:sz w:val="22"/>
          <w:szCs w:val="22"/>
          <w:lang w:val="en" w:eastAsia="en"/>
        </w:rPr>
        <w:t>We may also have to share your information, subject to strict agreements on how it will be used, with the following organisations</w:t>
      </w:r>
      <w:r w:rsidR="0036415F" w:rsidRPr="00B01709">
        <w:rPr>
          <w:rFonts w:eastAsia="Georgia"/>
          <w:b w:val="0"/>
          <w:bCs w:val="0"/>
          <w:sz w:val="22"/>
          <w:szCs w:val="22"/>
          <w:lang w:val="en" w:eastAsia="en"/>
        </w:rPr>
        <w:t>:</w:t>
      </w:r>
    </w:p>
    <w:p w14:paraId="707D7637" w14:textId="77777777"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Other health providers (eg GPs and consultants)</w:t>
      </w:r>
    </w:p>
    <w:p w14:paraId="5D1ED67E" w14:textId="4EA18360"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Care providers</w:t>
      </w:r>
      <w:r w:rsidR="00A200C0" w:rsidRPr="00B01709">
        <w:rPr>
          <w:rFonts w:ascii="Arial" w:eastAsia="Verdana" w:hAnsi="Arial" w:cs="Arial"/>
          <w:sz w:val="22"/>
          <w:szCs w:val="22"/>
          <w:lang w:val="en" w:eastAsia="en"/>
        </w:rPr>
        <w:t xml:space="preserve"> including NHS Commissioning Support Units </w:t>
      </w:r>
    </w:p>
    <w:p w14:paraId="1A8702C0" w14:textId="77777777"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lastRenderedPageBreak/>
        <w:t>Organisations we need to share information with for safeguarding reasons</w:t>
      </w:r>
    </w:p>
    <w:p w14:paraId="7F2AEE64" w14:textId="77777777"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Emergency services</w:t>
      </w:r>
    </w:p>
    <w:p w14:paraId="097B9733" w14:textId="77777777"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Professional advisors</w:t>
      </w:r>
    </w:p>
    <w:p w14:paraId="7315EA7B" w14:textId="77777777"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Legal bodies or authorities</w:t>
      </w:r>
    </w:p>
    <w:p w14:paraId="452C6E1B" w14:textId="77777777"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Local authorities or councils</w:t>
      </w:r>
    </w:p>
    <w:p w14:paraId="6B5AAD74" w14:textId="77777777"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Relevant regulatory authorities</w:t>
      </w:r>
    </w:p>
    <w:p w14:paraId="3109D00A" w14:textId="77777777"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External auditors or inspectors</w:t>
      </w:r>
    </w:p>
    <w:p w14:paraId="5E6CDF7C" w14:textId="77777777"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Organisations we’re legally obliged to share personal information with</w:t>
      </w:r>
    </w:p>
    <w:p w14:paraId="63E57031" w14:textId="15790739" w:rsidR="00705E53" w:rsidRPr="00B01709" w:rsidRDefault="00052605"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Professional consultants</w:t>
      </w:r>
    </w:p>
    <w:p w14:paraId="5BB75A01" w14:textId="77777777" w:rsidR="00A200C0" w:rsidRPr="00B01709" w:rsidRDefault="00A200C0"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Independent Contractors such as dentists, opticians, pharmacists </w:t>
      </w:r>
    </w:p>
    <w:p w14:paraId="2404CB15" w14:textId="77777777" w:rsidR="00A200C0" w:rsidRPr="00B01709" w:rsidRDefault="00A200C0"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Private Sector Providers </w:t>
      </w:r>
    </w:p>
    <w:p w14:paraId="66EF9BA0" w14:textId="77777777" w:rsidR="00A200C0" w:rsidRPr="00B01709" w:rsidRDefault="00A200C0"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Voluntary Sector Providers </w:t>
      </w:r>
    </w:p>
    <w:p w14:paraId="11322F68" w14:textId="77777777" w:rsidR="00A200C0" w:rsidRPr="00B01709" w:rsidRDefault="00A200C0"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Ambulance Trusts </w:t>
      </w:r>
    </w:p>
    <w:p w14:paraId="4D5159EF" w14:textId="77777777" w:rsidR="00A200C0" w:rsidRPr="00B01709" w:rsidRDefault="00A200C0"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Clinical Commissioning Groups</w:t>
      </w:r>
    </w:p>
    <w:p w14:paraId="44F405A8" w14:textId="36DB4E26" w:rsidR="00A200C0" w:rsidRPr="00B01709" w:rsidRDefault="00A200C0"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Social Care Services – e.g. we share your data with the Northern Ireland Interpreting Service when a translator is required for a consultation.</w:t>
      </w:r>
    </w:p>
    <w:p w14:paraId="6089E415" w14:textId="77777777" w:rsidR="00A200C0" w:rsidRPr="00B01709" w:rsidRDefault="00A200C0"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Health and Social Care Information Centre (HSCIC) </w:t>
      </w:r>
    </w:p>
    <w:p w14:paraId="07A51A25" w14:textId="77777777" w:rsidR="00A200C0" w:rsidRPr="00B01709" w:rsidRDefault="00A200C0" w:rsidP="00B01709">
      <w:pPr>
        <w:pStyle w:val="ListParagraph"/>
        <w:numPr>
          <w:ilvl w:val="0"/>
          <w:numId w:val="4"/>
        </w:num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Education Services </w:t>
      </w:r>
    </w:p>
    <w:p w14:paraId="4BBB196F" w14:textId="245B1252" w:rsidR="006D6B10" w:rsidRDefault="006D6B10" w:rsidP="006D6B10">
      <w:pPr>
        <w:pStyle w:val="ListParagraph"/>
        <w:numPr>
          <w:ilvl w:val="0"/>
          <w:numId w:val="4"/>
        </w:numPr>
        <w:spacing w:before="120" w:line="360" w:lineRule="atLeast"/>
        <w:jc w:val="both"/>
        <w:rPr>
          <w:rFonts w:ascii="Arial" w:eastAsia="Verdana" w:hAnsi="Arial" w:cs="Arial"/>
          <w:sz w:val="22"/>
          <w:szCs w:val="22"/>
          <w:lang w:val="en" w:eastAsia="en"/>
        </w:rPr>
      </w:pPr>
      <w:r>
        <w:rPr>
          <w:rFonts w:ascii="Arial" w:eastAsia="Verdana" w:hAnsi="Arial" w:cs="Arial"/>
          <w:sz w:val="22"/>
          <w:szCs w:val="22"/>
          <w:lang w:eastAsia="en"/>
        </w:rPr>
        <w:t>C</w:t>
      </w:r>
      <w:r w:rsidRPr="006D6B10">
        <w:rPr>
          <w:rFonts w:ascii="Arial" w:eastAsia="Verdana" w:hAnsi="Arial" w:cs="Arial"/>
          <w:sz w:val="22"/>
          <w:szCs w:val="22"/>
          <w:lang w:eastAsia="en"/>
        </w:rPr>
        <w:t xml:space="preserve">ompanies </w:t>
      </w:r>
      <w:r>
        <w:rPr>
          <w:rFonts w:ascii="Arial" w:eastAsia="Verdana" w:hAnsi="Arial" w:cs="Arial"/>
          <w:sz w:val="22"/>
          <w:szCs w:val="22"/>
          <w:lang w:eastAsia="en"/>
        </w:rPr>
        <w:t>providing</w:t>
      </w:r>
      <w:r w:rsidR="00F13E4C">
        <w:rPr>
          <w:rFonts w:ascii="Arial" w:eastAsia="Verdana" w:hAnsi="Arial" w:cs="Arial"/>
          <w:sz w:val="22"/>
          <w:szCs w:val="22"/>
          <w:lang w:eastAsia="en"/>
        </w:rPr>
        <w:t xml:space="preserve"> us with</w:t>
      </w:r>
      <w:r>
        <w:rPr>
          <w:rFonts w:ascii="Arial" w:eastAsia="Verdana" w:hAnsi="Arial" w:cs="Arial"/>
          <w:sz w:val="22"/>
          <w:szCs w:val="22"/>
          <w:lang w:eastAsia="en"/>
        </w:rPr>
        <w:t xml:space="preserve"> various administrative services including the</w:t>
      </w:r>
      <w:r w:rsidRPr="006D6B10">
        <w:rPr>
          <w:rFonts w:ascii="Arial" w:eastAsia="Verdana" w:hAnsi="Arial" w:cs="Arial"/>
          <w:sz w:val="22"/>
          <w:szCs w:val="22"/>
          <w:lang w:eastAsia="en"/>
        </w:rPr>
        <w:t xml:space="preserve"> shredding of paper, printing and postage of letters, sending and receiving text messages, storage of recorded </w:t>
      </w:r>
      <w:r>
        <w:rPr>
          <w:rFonts w:ascii="Arial" w:eastAsia="Verdana" w:hAnsi="Arial" w:cs="Arial"/>
          <w:sz w:val="22"/>
          <w:szCs w:val="22"/>
          <w:lang w:eastAsia="en"/>
        </w:rPr>
        <w:t xml:space="preserve">voicemail </w:t>
      </w:r>
      <w:r w:rsidRPr="006D6B10">
        <w:rPr>
          <w:rFonts w:ascii="Arial" w:eastAsia="Verdana" w:hAnsi="Arial" w:cs="Arial"/>
          <w:sz w:val="22"/>
          <w:szCs w:val="22"/>
          <w:lang w:eastAsia="en"/>
        </w:rPr>
        <w:t>telephone messages</w:t>
      </w:r>
      <w:r>
        <w:rPr>
          <w:rFonts w:ascii="Arial" w:eastAsia="Verdana" w:hAnsi="Arial" w:cs="Arial"/>
          <w:sz w:val="22"/>
          <w:szCs w:val="22"/>
          <w:lang w:eastAsia="en"/>
        </w:rPr>
        <w:t>.</w:t>
      </w:r>
      <w:r w:rsidRPr="006D6B10" w:rsidDel="006D6B10">
        <w:rPr>
          <w:rFonts w:ascii="Arial" w:eastAsia="Verdana" w:hAnsi="Arial" w:cs="Arial"/>
          <w:sz w:val="22"/>
          <w:szCs w:val="22"/>
          <w:lang w:val="en" w:eastAsia="en"/>
        </w:rPr>
        <w:t xml:space="preserve"> </w:t>
      </w:r>
    </w:p>
    <w:p w14:paraId="70D0BF77" w14:textId="0011F39A" w:rsidR="00A200C0" w:rsidRPr="00F45CDC" w:rsidRDefault="00A200C0" w:rsidP="006D6B10">
      <w:pPr>
        <w:spacing w:before="120" w:line="360" w:lineRule="atLeast"/>
        <w:jc w:val="both"/>
        <w:rPr>
          <w:rFonts w:ascii="Arial" w:eastAsia="Verdana" w:hAnsi="Arial" w:cs="Arial"/>
          <w:sz w:val="22"/>
          <w:szCs w:val="22"/>
          <w:lang w:val="en" w:eastAsia="en"/>
        </w:rPr>
      </w:pPr>
      <w:r w:rsidRPr="00F45CDC">
        <w:rPr>
          <w:rFonts w:ascii="Arial" w:eastAsia="Verdana" w:hAnsi="Arial" w:cs="Arial"/>
          <w:sz w:val="22"/>
          <w:szCs w:val="22"/>
          <w:lang w:val="en" w:eastAsia="en"/>
        </w:rPr>
        <w:t>You will be informed who your data will be shared with and in some cases asked for explicit consent for this to happen if and when this is required.</w:t>
      </w:r>
    </w:p>
    <w:p w14:paraId="5458D2E8" w14:textId="7BC80C22" w:rsidR="00705E53" w:rsidRPr="00B01709" w:rsidRDefault="004F3BF9" w:rsidP="00B01709">
      <w:pPr>
        <w:pStyle w:val="Heading2"/>
        <w:keepNext w:val="0"/>
        <w:spacing w:after="0" w:line="360" w:lineRule="atLeast"/>
        <w:jc w:val="both"/>
        <w:rPr>
          <w:rFonts w:eastAsia="Georgia"/>
          <w:sz w:val="22"/>
          <w:szCs w:val="22"/>
          <w:lang w:val="en" w:eastAsia="en"/>
        </w:rPr>
      </w:pPr>
      <w:r w:rsidRPr="00B01709">
        <w:rPr>
          <w:rFonts w:eastAsia="Georgia"/>
          <w:i w:val="0"/>
          <w:iCs w:val="0"/>
          <w:sz w:val="22"/>
          <w:szCs w:val="22"/>
          <w:lang w:val="en" w:eastAsia="en"/>
        </w:rPr>
        <w:t>DUTY OF CONFIDENTIALITY</w:t>
      </w:r>
    </w:p>
    <w:p w14:paraId="6DEF3DB0" w14:textId="2A426034" w:rsidR="00705E53" w:rsidRPr="00B01709" w:rsidRDefault="00052605" w:rsidP="00B01709">
      <w:pPr>
        <w:spacing w:before="120" w:after="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We are subject to a common law duty of confidentiality. However, there are circumstances where we will share relevant health and care information. These are where:</w:t>
      </w:r>
    </w:p>
    <w:p w14:paraId="4FCFEFFD" w14:textId="1654F5D3" w:rsidR="0037170C" w:rsidRPr="00B01709" w:rsidRDefault="004F3BF9" w:rsidP="00B01709">
      <w:pPr>
        <w:pStyle w:val="ListParagraph"/>
        <w:numPr>
          <w:ilvl w:val="0"/>
          <w:numId w:val="2"/>
        </w:numPr>
        <w:spacing w:before="120" w:after="120" w:line="360" w:lineRule="atLeast"/>
        <w:ind w:left="351" w:hanging="357"/>
        <w:jc w:val="both"/>
        <w:rPr>
          <w:rFonts w:ascii="Arial" w:eastAsia="Verdana" w:hAnsi="Arial" w:cs="Arial"/>
          <w:sz w:val="22"/>
          <w:szCs w:val="22"/>
          <w:lang w:val="en" w:eastAsia="en"/>
        </w:rPr>
      </w:pPr>
      <w:r>
        <w:rPr>
          <w:rFonts w:ascii="Arial" w:eastAsia="Verdana" w:hAnsi="Arial" w:cs="Arial"/>
          <w:sz w:val="22"/>
          <w:szCs w:val="22"/>
          <w:lang w:val="en" w:eastAsia="en"/>
        </w:rPr>
        <w:t>y</w:t>
      </w:r>
      <w:r w:rsidR="00052605" w:rsidRPr="00B01709">
        <w:rPr>
          <w:rFonts w:ascii="Arial" w:eastAsia="Verdana" w:hAnsi="Arial" w:cs="Arial"/>
          <w:sz w:val="22"/>
          <w:szCs w:val="22"/>
          <w:lang w:val="en" w:eastAsia="en"/>
        </w:rPr>
        <w:t>ou</w:t>
      </w:r>
      <w:r w:rsidR="0037170C" w:rsidRPr="00B01709">
        <w:rPr>
          <w:rFonts w:ascii="Arial" w:eastAsia="Verdana" w:hAnsi="Arial" w:cs="Arial"/>
          <w:sz w:val="22"/>
          <w:szCs w:val="22"/>
          <w:lang w:val="en" w:eastAsia="en"/>
        </w:rPr>
        <w:t xml:space="preserve"> have </w:t>
      </w:r>
      <w:r w:rsidR="00052605" w:rsidRPr="00B01709">
        <w:rPr>
          <w:rFonts w:ascii="Arial" w:eastAsia="Verdana" w:hAnsi="Arial" w:cs="Arial"/>
          <w:sz w:val="22"/>
          <w:szCs w:val="22"/>
          <w:lang w:val="en" w:eastAsia="en"/>
        </w:rPr>
        <w:t>provided us with your consent (we have taken it as implied to provide you with care, or you have given it explicitly for other uses);</w:t>
      </w:r>
    </w:p>
    <w:p w14:paraId="073EB306" w14:textId="1CB5F61A" w:rsidR="0037170C" w:rsidRPr="00B01709" w:rsidRDefault="004F3BF9" w:rsidP="00B01709">
      <w:pPr>
        <w:pStyle w:val="ListParagraph"/>
        <w:numPr>
          <w:ilvl w:val="0"/>
          <w:numId w:val="2"/>
        </w:numPr>
        <w:spacing w:before="120" w:after="120" w:line="360" w:lineRule="atLeast"/>
        <w:ind w:left="351" w:hanging="357"/>
        <w:jc w:val="both"/>
        <w:rPr>
          <w:rFonts w:ascii="Arial" w:eastAsia="Verdana" w:hAnsi="Arial" w:cs="Arial"/>
          <w:sz w:val="22"/>
          <w:szCs w:val="22"/>
          <w:lang w:val="en" w:eastAsia="en"/>
        </w:rPr>
      </w:pPr>
      <w:r>
        <w:rPr>
          <w:rFonts w:ascii="Arial" w:eastAsia="Verdana" w:hAnsi="Arial" w:cs="Arial"/>
          <w:sz w:val="22"/>
          <w:szCs w:val="22"/>
          <w:lang w:val="en" w:eastAsia="en"/>
        </w:rPr>
        <w:t>w</w:t>
      </w:r>
      <w:r w:rsidR="00052605" w:rsidRPr="00B01709">
        <w:rPr>
          <w:rFonts w:ascii="Arial" w:eastAsia="Verdana" w:hAnsi="Arial" w:cs="Arial"/>
          <w:sz w:val="22"/>
          <w:szCs w:val="22"/>
          <w:lang w:val="en" w:eastAsia="en"/>
        </w:rPr>
        <w:t>e have a legal requirement (including court orders) to collect, share or use the data;</w:t>
      </w:r>
      <w:r>
        <w:rPr>
          <w:rFonts w:ascii="Arial" w:eastAsia="Verdana" w:hAnsi="Arial" w:cs="Arial"/>
          <w:sz w:val="22"/>
          <w:szCs w:val="22"/>
          <w:lang w:val="en" w:eastAsia="en"/>
        </w:rPr>
        <w:t xml:space="preserve"> and</w:t>
      </w:r>
    </w:p>
    <w:p w14:paraId="71DE585F" w14:textId="51BC737C" w:rsidR="00705E53" w:rsidRPr="00B01709" w:rsidRDefault="004F3BF9" w:rsidP="00B01709">
      <w:pPr>
        <w:pStyle w:val="ListParagraph"/>
        <w:numPr>
          <w:ilvl w:val="0"/>
          <w:numId w:val="2"/>
        </w:numPr>
        <w:spacing w:before="120" w:after="120" w:line="360" w:lineRule="atLeast"/>
        <w:ind w:left="351" w:hanging="357"/>
        <w:jc w:val="both"/>
        <w:rPr>
          <w:rFonts w:ascii="Arial" w:eastAsia="Verdana" w:hAnsi="Arial" w:cs="Arial"/>
          <w:sz w:val="22"/>
          <w:szCs w:val="22"/>
          <w:lang w:val="en" w:eastAsia="en"/>
        </w:rPr>
      </w:pPr>
      <w:proofErr w:type="gramStart"/>
      <w:r>
        <w:rPr>
          <w:rFonts w:ascii="Arial" w:eastAsia="Verdana" w:hAnsi="Arial" w:cs="Arial"/>
          <w:sz w:val="22"/>
          <w:szCs w:val="22"/>
          <w:lang w:val="en" w:eastAsia="en"/>
        </w:rPr>
        <w:t>o</w:t>
      </w:r>
      <w:r w:rsidR="00052605" w:rsidRPr="00B01709">
        <w:rPr>
          <w:rFonts w:ascii="Arial" w:eastAsia="Verdana" w:hAnsi="Arial" w:cs="Arial"/>
          <w:sz w:val="22"/>
          <w:szCs w:val="22"/>
          <w:lang w:val="en" w:eastAsia="en"/>
        </w:rPr>
        <w:t>n</w:t>
      </w:r>
      <w:proofErr w:type="gramEnd"/>
      <w:r w:rsidR="00052605" w:rsidRPr="00B01709">
        <w:rPr>
          <w:rFonts w:ascii="Arial" w:eastAsia="Verdana" w:hAnsi="Arial" w:cs="Arial"/>
          <w:sz w:val="22"/>
          <w:szCs w:val="22"/>
          <w:lang w:val="en" w:eastAsia="en"/>
        </w:rPr>
        <w:t xml:space="preserve"> a case-by-case basis, the public interest to collect, share and use the data overrides the public interest served by protecting the duty of confidentiality (for example sharing information with the police to support the detection or prevention of serious crime)</w:t>
      </w:r>
      <w:bookmarkStart w:id="5" w:name="complain"/>
      <w:bookmarkEnd w:id="5"/>
      <w:r>
        <w:rPr>
          <w:rFonts w:ascii="Arial" w:eastAsia="Verdana" w:hAnsi="Arial" w:cs="Arial"/>
          <w:sz w:val="22"/>
          <w:szCs w:val="22"/>
          <w:lang w:val="en" w:eastAsia="en"/>
        </w:rPr>
        <w:t>.</w:t>
      </w:r>
    </w:p>
    <w:p w14:paraId="02EEEC37" w14:textId="0D2C92AE" w:rsidR="00705E53" w:rsidRPr="00B01709" w:rsidRDefault="004F3BF9" w:rsidP="00B01709">
      <w:pPr>
        <w:pStyle w:val="Heading2"/>
        <w:keepNext w:val="0"/>
        <w:spacing w:after="0" w:line="360" w:lineRule="atLeast"/>
        <w:jc w:val="both"/>
        <w:rPr>
          <w:rFonts w:eastAsia="Georgia"/>
          <w:sz w:val="22"/>
          <w:szCs w:val="22"/>
          <w:lang w:val="en" w:eastAsia="en"/>
        </w:rPr>
      </w:pPr>
      <w:r w:rsidRPr="00B01709">
        <w:rPr>
          <w:rFonts w:eastAsia="Georgia"/>
          <w:i w:val="0"/>
          <w:iCs w:val="0"/>
          <w:sz w:val="22"/>
          <w:szCs w:val="22"/>
          <w:lang w:val="en" w:eastAsia="en"/>
        </w:rPr>
        <w:t>HOW DO YOU COMPLAIN?</w:t>
      </w:r>
    </w:p>
    <w:p w14:paraId="244252E3" w14:textId="5F525E80" w:rsidR="00705E53"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If you have any concerns about our use of your personal data, you can make a complaint to us using the contact details at the top of this privacy notice.</w:t>
      </w:r>
    </w:p>
    <w:p w14:paraId="0B67D8C1" w14:textId="76004A5C" w:rsidR="00705E53"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lastRenderedPageBreak/>
        <w:t>If you remain unhappy with how we’ve used your data after raising a complaint with us, you can also complain to the ICO.</w:t>
      </w:r>
    </w:p>
    <w:p w14:paraId="6F35BE01" w14:textId="0431A0EA" w:rsidR="00705E53" w:rsidRPr="00B01709" w:rsidRDefault="00052605" w:rsidP="00B01709">
      <w:pP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The ICO’s address:           </w:t>
      </w:r>
    </w:p>
    <w:p w14:paraId="76965654" w14:textId="7EF6DD49" w:rsidR="00705E53" w:rsidRPr="00B01709" w:rsidRDefault="00052605" w:rsidP="004F3BF9">
      <w:pPr>
        <w:pBdr>
          <w:left w:val="none" w:sz="0" w:space="30" w:color="auto"/>
        </w:pBdr>
        <w:spacing w:before="120" w:line="360" w:lineRule="atLeast"/>
        <w:rPr>
          <w:rFonts w:ascii="Arial" w:eastAsia="Verdana" w:hAnsi="Arial" w:cs="Arial"/>
          <w:sz w:val="22"/>
          <w:szCs w:val="22"/>
          <w:lang w:val="en" w:eastAsia="en"/>
        </w:rPr>
      </w:pPr>
      <w:r w:rsidRPr="00B01709">
        <w:rPr>
          <w:rFonts w:ascii="Arial" w:eastAsia="Verdana" w:hAnsi="Arial" w:cs="Arial"/>
          <w:sz w:val="22"/>
          <w:szCs w:val="22"/>
          <w:lang w:val="en" w:eastAsia="en"/>
        </w:rPr>
        <w:t>Information Commissioner’s Office</w:t>
      </w:r>
      <w:r w:rsidRPr="00B01709">
        <w:rPr>
          <w:rFonts w:ascii="Arial" w:eastAsia="Verdana" w:hAnsi="Arial" w:cs="Arial"/>
          <w:sz w:val="22"/>
          <w:szCs w:val="22"/>
          <w:lang w:val="en" w:eastAsia="en"/>
        </w:rPr>
        <w:br/>
        <w:t>Wycliffe House</w:t>
      </w:r>
      <w:r w:rsidRPr="00B01709">
        <w:rPr>
          <w:rFonts w:ascii="Arial" w:eastAsia="Verdana" w:hAnsi="Arial" w:cs="Arial"/>
          <w:sz w:val="22"/>
          <w:szCs w:val="22"/>
          <w:lang w:val="en" w:eastAsia="en"/>
        </w:rPr>
        <w:br/>
        <w:t>Water Lane</w:t>
      </w:r>
      <w:r w:rsidRPr="00B01709">
        <w:rPr>
          <w:rFonts w:ascii="Arial" w:eastAsia="Verdana" w:hAnsi="Arial" w:cs="Arial"/>
          <w:sz w:val="22"/>
          <w:szCs w:val="22"/>
          <w:lang w:val="en" w:eastAsia="en"/>
        </w:rPr>
        <w:br/>
        <w:t>Wilmslow</w:t>
      </w:r>
      <w:r w:rsidRPr="00B01709">
        <w:rPr>
          <w:rFonts w:ascii="Arial" w:eastAsia="Verdana" w:hAnsi="Arial" w:cs="Arial"/>
          <w:sz w:val="22"/>
          <w:szCs w:val="22"/>
          <w:lang w:val="en" w:eastAsia="en"/>
        </w:rPr>
        <w:br/>
        <w:t>Cheshire</w:t>
      </w:r>
      <w:r w:rsidRPr="00B01709">
        <w:rPr>
          <w:rFonts w:ascii="Arial" w:eastAsia="Verdana" w:hAnsi="Arial" w:cs="Arial"/>
          <w:sz w:val="22"/>
          <w:szCs w:val="22"/>
          <w:lang w:val="en" w:eastAsia="en"/>
        </w:rPr>
        <w:br/>
        <w:t>SK9 5AF</w:t>
      </w:r>
    </w:p>
    <w:p w14:paraId="6054A077" w14:textId="30102634" w:rsidR="0032342E" w:rsidRPr="00B01709" w:rsidRDefault="00052605" w:rsidP="00B01709">
      <w:pPr>
        <w:pBdr>
          <w:left w:val="none" w:sz="0" w:space="30" w:color="auto"/>
        </w:pBd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Helpline number: 0303 123 1113</w:t>
      </w:r>
    </w:p>
    <w:p w14:paraId="299CF031" w14:textId="77777777" w:rsidR="0032342E" w:rsidRPr="00B01709" w:rsidRDefault="00052605" w:rsidP="00B01709">
      <w:pPr>
        <w:pBdr>
          <w:left w:val="none" w:sz="0" w:space="30" w:color="auto"/>
        </w:pBdr>
        <w:spacing w:before="120" w:line="360" w:lineRule="atLeast"/>
        <w:jc w:val="both"/>
        <w:rPr>
          <w:rFonts w:ascii="Arial" w:eastAsia="Verdana" w:hAnsi="Arial" w:cs="Arial"/>
          <w:sz w:val="22"/>
          <w:szCs w:val="22"/>
          <w:lang w:val="en" w:eastAsia="en"/>
        </w:rPr>
      </w:pPr>
      <w:r w:rsidRPr="00B01709">
        <w:rPr>
          <w:rFonts w:ascii="Arial" w:eastAsia="Verdana" w:hAnsi="Arial" w:cs="Arial"/>
          <w:sz w:val="22"/>
          <w:szCs w:val="22"/>
          <w:lang w:val="en" w:eastAsia="en"/>
        </w:rPr>
        <w:t xml:space="preserve">Website: </w:t>
      </w:r>
      <w:hyperlink r:id="rId13" w:tooltip="Make a complaint" w:history="1">
        <w:r w:rsidRPr="00B01709">
          <w:rPr>
            <w:rFonts w:ascii="Arial" w:eastAsia="Verdana" w:hAnsi="Arial" w:cs="Arial"/>
            <w:color w:val="0000EE"/>
            <w:sz w:val="22"/>
            <w:szCs w:val="22"/>
            <w:u w:val="single" w:color="0000EE"/>
            <w:lang w:val="en" w:eastAsia="en"/>
          </w:rPr>
          <w:t>https://www.ico.org.uk/make-a-complaint</w:t>
        </w:r>
      </w:hyperlink>
    </w:p>
    <w:p w14:paraId="04B73E0E" w14:textId="77777777" w:rsidR="00A77B3E" w:rsidRPr="00B01709" w:rsidRDefault="00A77B3E" w:rsidP="00B01709">
      <w:pPr>
        <w:spacing w:before="120"/>
        <w:jc w:val="both"/>
        <w:rPr>
          <w:rFonts w:ascii="Arial" w:hAnsi="Arial" w:cs="Arial"/>
          <w:sz w:val="22"/>
          <w:szCs w:val="22"/>
        </w:rPr>
      </w:pPr>
    </w:p>
    <w:sectPr w:rsidR="00A77B3E" w:rsidRPr="00B01709">
      <w:pgSz w:w="11906" w:h="16838"/>
      <w:pgMar w:top="1440" w:right="1440" w:bottom="1440" w:left="1440" w:header="708" w:footer="708" w:gutter="0"/>
      <w:pgNumType w:fmt="decimalEnclosedFullstop"/>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90A"/>
    <w:multiLevelType w:val="hybridMultilevel"/>
    <w:tmpl w:val="3A763DA0"/>
    <w:lvl w:ilvl="0" w:tplc="08090001">
      <w:start w:val="1"/>
      <w:numFmt w:val="bullet"/>
      <w:lvlText w:val=""/>
      <w:lvlJc w:val="left"/>
      <w:pPr>
        <w:ind w:left="-219" w:hanging="360"/>
      </w:pPr>
      <w:rPr>
        <w:rFonts w:ascii="Symbol" w:hAnsi="Symbol" w:hint="default"/>
      </w:rPr>
    </w:lvl>
    <w:lvl w:ilvl="1" w:tplc="08090003" w:tentative="1">
      <w:start w:val="1"/>
      <w:numFmt w:val="bullet"/>
      <w:lvlText w:val="o"/>
      <w:lvlJc w:val="left"/>
      <w:pPr>
        <w:ind w:left="501" w:hanging="360"/>
      </w:pPr>
      <w:rPr>
        <w:rFonts w:ascii="Courier New" w:hAnsi="Courier New" w:cs="Courier New" w:hint="default"/>
      </w:rPr>
    </w:lvl>
    <w:lvl w:ilvl="2" w:tplc="08090005" w:tentative="1">
      <w:start w:val="1"/>
      <w:numFmt w:val="bullet"/>
      <w:lvlText w:val=""/>
      <w:lvlJc w:val="left"/>
      <w:pPr>
        <w:ind w:left="1221" w:hanging="360"/>
      </w:pPr>
      <w:rPr>
        <w:rFonts w:ascii="Wingdings" w:hAnsi="Wingdings" w:hint="default"/>
      </w:rPr>
    </w:lvl>
    <w:lvl w:ilvl="3" w:tplc="08090001" w:tentative="1">
      <w:start w:val="1"/>
      <w:numFmt w:val="bullet"/>
      <w:lvlText w:val=""/>
      <w:lvlJc w:val="left"/>
      <w:pPr>
        <w:ind w:left="1941" w:hanging="360"/>
      </w:pPr>
      <w:rPr>
        <w:rFonts w:ascii="Symbol" w:hAnsi="Symbol" w:hint="default"/>
      </w:rPr>
    </w:lvl>
    <w:lvl w:ilvl="4" w:tplc="08090003" w:tentative="1">
      <w:start w:val="1"/>
      <w:numFmt w:val="bullet"/>
      <w:lvlText w:val="o"/>
      <w:lvlJc w:val="left"/>
      <w:pPr>
        <w:ind w:left="2661" w:hanging="360"/>
      </w:pPr>
      <w:rPr>
        <w:rFonts w:ascii="Courier New" w:hAnsi="Courier New" w:cs="Courier New" w:hint="default"/>
      </w:rPr>
    </w:lvl>
    <w:lvl w:ilvl="5" w:tplc="08090005" w:tentative="1">
      <w:start w:val="1"/>
      <w:numFmt w:val="bullet"/>
      <w:lvlText w:val=""/>
      <w:lvlJc w:val="left"/>
      <w:pPr>
        <w:ind w:left="3381" w:hanging="360"/>
      </w:pPr>
      <w:rPr>
        <w:rFonts w:ascii="Wingdings" w:hAnsi="Wingdings" w:hint="default"/>
      </w:rPr>
    </w:lvl>
    <w:lvl w:ilvl="6" w:tplc="08090001" w:tentative="1">
      <w:start w:val="1"/>
      <w:numFmt w:val="bullet"/>
      <w:lvlText w:val=""/>
      <w:lvlJc w:val="left"/>
      <w:pPr>
        <w:ind w:left="4101" w:hanging="360"/>
      </w:pPr>
      <w:rPr>
        <w:rFonts w:ascii="Symbol" w:hAnsi="Symbol" w:hint="default"/>
      </w:rPr>
    </w:lvl>
    <w:lvl w:ilvl="7" w:tplc="08090003" w:tentative="1">
      <w:start w:val="1"/>
      <w:numFmt w:val="bullet"/>
      <w:lvlText w:val="o"/>
      <w:lvlJc w:val="left"/>
      <w:pPr>
        <w:ind w:left="4821" w:hanging="360"/>
      </w:pPr>
      <w:rPr>
        <w:rFonts w:ascii="Courier New" w:hAnsi="Courier New" w:cs="Courier New" w:hint="default"/>
      </w:rPr>
    </w:lvl>
    <w:lvl w:ilvl="8" w:tplc="08090005" w:tentative="1">
      <w:start w:val="1"/>
      <w:numFmt w:val="bullet"/>
      <w:lvlText w:val=""/>
      <w:lvlJc w:val="left"/>
      <w:pPr>
        <w:ind w:left="5541" w:hanging="360"/>
      </w:pPr>
      <w:rPr>
        <w:rFonts w:ascii="Wingdings" w:hAnsi="Wingdings" w:hint="default"/>
      </w:rPr>
    </w:lvl>
  </w:abstractNum>
  <w:abstractNum w:abstractNumId="1" w15:restartNumberingAfterBreak="0">
    <w:nsid w:val="0FBA7A4F"/>
    <w:multiLevelType w:val="hybridMultilevel"/>
    <w:tmpl w:val="F5FEC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371857"/>
    <w:multiLevelType w:val="hybridMultilevel"/>
    <w:tmpl w:val="DC7AE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415667"/>
    <w:multiLevelType w:val="hybridMultilevel"/>
    <w:tmpl w:val="D3448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C7236C"/>
    <w:multiLevelType w:val="hybridMultilevel"/>
    <w:tmpl w:val="525C0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FA128C"/>
    <w:multiLevelType w:val="hybridMultilevel"/>
    <w:tmpl w:val="9448320E"/>
    <w:lvl w:ilvl="0" w:tplc="3FC829A2">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936A7"/>
    <w:multiLevelType w:val="hybridMultilevel"/>
    <w:tmpl w:val="C2B8A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3E545E"/>
    <w:multiLevelType w:val="hybridMultilevel"/>
    <w:tmpl w:val="DE5CF322"/>
    <w:lvl w:ilvl="0" w:tplc="3FC829A2">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7"/>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2605"/>
    <w:rsid w:val="000813E2"/>
    <w:rsid w:val="000A0047"/>
    <w:rsid w:val="000A39CE"/>
    <w:rsid w:val="001F4559"/>
    <w:rsid w:val="00237E94"/>
    <w:rsid w:val="00254EE7"/>
    <w:rsid w:val="00276E95"/>
    <w:rsid w:val="002E68F5"/>
    <w:rsid w:val="0032342E"/>
    <w:rsid w:val="00351709"/>
    <w:rsid w:val="0036415F"/>
    <w:rsid w:val="0037170C"/>
    <w:rsid w:val="003722F2"/>
    <w:rsid w:val="003E5629"/>
    <w:rsid w:val="00403481"/>
    <w:rsid w:val="00426BD3"/>
    <w:rsid w:val="004C0C00"/>
    <w:rsid w:val="004E4F3D"/>
    <w:rsid w:val="004F3BF9"/>
    <w:rsid w:val="005038A2"/>
    <w:rsid w:val="00543FE8"/>
    <w:rsid w:val="005C124C"/>
    <w:rsid w:val="005D1E54"/>
    <w:rsid w:val="005D7F2F"/>
    <w:rsid w:val="00611EB4"/>
    <w:rsid w:val="006D6B10"/>
    <w:rsid w:val="00704392"/>
    <w:rsid w:val="00705E53"/>
    <w:rsid w:val="007B5114"/>
    <w:rsid w:val="00821EFC"/>
    <w:rsid w:val="008B3597"/>
    <w:rsid w:val="008E20CC"/>
    <w:rsid w:val="00904DEE"/>
    <w:rsid w:val="00983CED"/>
    <w:rsid w:val="009A0EAD"/>
    <w:rsid w:val="009B5AD4"/>
    <w:rsid w:val="00A200C0"/>
    <w:rsid w:val="00A77B3E"/>
    <w:rsid w:val="00AA1FD8"/>
    <w:rsid w:val="00B01709"/>
    <w:rsid w:val="00BD0D5A"/>
    <w:rsid w:val="00C7116B"/>
    <w:rsid w:val="00CA2A55"/>
    <w:rsid w:val="00CB3090"/>
    <w:rsid w:val="00D0129C"/>
    <w:rsid w:val="00D24EC5"/>
    <w:rsid w:val="00D53951"/>
    <w:rsid w:val="00D77379"/>
    <w:rsid w:val="00E02E91"/>
    <w:rsid w:val="00F13E4C"/>
    <w:rsid w:val="00F1518F"/>
    <w:rsid w:val="00F45CDC"/>
    <w:rsid w:val="00F51DB5"/>
    <w:rsid w:val="00FA079B"/>
    <w:rsid w:val="00FA6FB0"/>
    <w:rsid w:val="00FD0513"/>
    <w:rsid w:val="00FE42ED"/>
    <w:rsid w:val="00FF3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D737D"/>
  <w15:docId w15:val="{8A232D93-FA53-4CCF-A711-CEF1FA64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FB0"/>
    <w:pPr>
      <w:ind w:left="720"/>
      <w:contextualSpacing/>
    </w:pPr>
  </w:style>
  <w:style w:type="character" w:styleId="CommentReference">
    <w:name w:val="annotation reference"/>
    <w:basedOn w:val="DefaultParagraphFont"/>
    <w:rsid w:val="0037170C"/>
    <w:rPr>
      <w:sz w:val="16"/>
      <w:szCs w:val="16"/>
    </w:rPr>
  </w:style>
  <w:style w:type="paragraph" w:styleId="CommentText">
    <w:name w:val="annotation text"/>
    <w:basedOn w:val="Normal"/>
    <w:link w:val="CommentTextChar"/>
    <w:rsid w:val="0037170C"/>
    <w:rPr>
      <w:sz w:val="20"/>
      <w:szCs w:val="20"/>
    </w:rPr>
  </w:style>
  <w:style w:type="character" w:customStyle="1" w:styleId="CommentTextChar">
    <w:name w:val="Comment Text Char"/>
    <w:basedOn w:val="DefaultParagraphFont"/>
    <w:link w:val="CommentText"/>
    <w:rsid w:val="0037170C"/>
  </w:style>
  <w:style w:type="paragraph" w:styleId="CommentSubject">
    <w:name w:val="annotation subject"/>
    <w:basedOn w:val="CommentText"/>
    <w:next w:val="CommentText"/>
    <w:link w:val="CommentSubjectChar"/>
    <w:rsid w:val="0037170C"/>
    <w:rPr>
      <w:b/>
      <w:bCs/>
    </w:rPr>
  </w:style>
  <w:style w:type="character" w:customStyle="1" w:styleId="CommentSubjectChar">
    <w:name w:val="Comment Subject Char"/>
    <w:basedOn w:val="CommentTextChar"/>
    <w:link w:val="CommentSubject"/>
    <w:rsid w:val="0037170C"/>
    <w:rPr>
      <w:b/>
      <w:bCs/>
    </w:rPr>
  </w:style>
  <w:style w:type="character" w:styleId="Hyperlink">
    <w:name w:val="Hyperlink"/>
    <w:basedOn w:val="DefaultParagraphFont"/>
    <w:rsid w:val="0037170C"/>
    <w:rPr>
      <w:color w:val="0000FF" w:themeColor="hyperlink"/>
      <w:u w:val="single"/>
    </w:rPr>
  </w:style>
  <w:style w:type="character" w:customStyle="1" w:styleId="UnresolvedMention">
    <w:name w:val="Unresolved Mention"/>
    <w:basedOn w:val="DefaultParagraphFont"/>
    <w:uiPriority w:val="99"/>
    <w:semiHidden/>
    <w:unhideWhenUsed/>
    <w:rsid w:val="0037170C"/>
    <w:rPr>
      <w:color w:val="605E5C"/>
      <w:shd w:val="clear" w:color="auto" w:fill="E1DFDD"/>
    </w:rPr>
  </w:style>
  <w:style w:type="table" w:styleId="TableGrid">
    <w:name w:val="Table Grid"/>
    <w:basedOn w:val="TableNormal"/>
    <w:rsid w:val="008B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0D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individual-rights/individual-rights/right-to-erasure/" TargetMode="External"/><Relationship Id="rId13" Type="http://schemas.openxmlformats.org/officeDocument/2006/relationships/hyperlink" Target="https://ico.org.uk/make-a-complaint/" TargetMode="External"/><Relationship Id="rId3" Type="http://schemas.openxmlformats.org/officeDocument/2006/relationships/settings" Target="settings.xml"/><Relationship Id="rId7" Type="http://schemas.openxmlformats.org/officeDocument/2006/relationships/hyperlink" Target="https://ico.org.uk/for-organisations/uk-gdpr-guidance-and-resources/individual-rights/individual-rights/right-to-rectification/" TargetMode="External"/><Relationship Id="rId12" Type="http://schemas.openxmlformats.org/officeDocument/2006/relationships/hyperlink" Target="https://ico.org.uk/for-organisations/uk-gdpr-guidance-and-resources/lawful-basis/consent/how-should-we-obtain-record-and-manage-cons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uk-gdpr-guidance-and-resources/individual-rights/individual-rights/right-of-access/" TargetMode="External"/><Relationship Id="rId11" Type="http://schemas.openxmlformats.org/officeDocument/2006/relationships/hyperlink" Target="https://ico.org.uk/for-organisations/uk-gdpr-guidance-and-resources/individual-rights/individual-rights/right-to-data-portability/" TargetMode="External"/><Relationship Id="rId5" Type="http://schemas.openxmlformats.org/officeDocument/2006/relationships/hyperlink" Target="mailto:reception.z00440@gp.hscni.net" TargetMode="External"/><Relationship Id="rId15" Type="http://schemas.openxmlformats.org/officeDocument/2006/relationships/theme" Target="theme/theme1.xml"/><Relationship Id="rId10" Type="http://schemas.openxmlformats.org/officeDocument/2006/relationships/hyperlink" Target="https://ico.org.uk/for-organisations/uk-gdpr-guidance-and-resources/individual-rights/individual-rights/right-to-object/" TargetMode="External"/><Relationship Id="rId4" Type="http://schemas.openxmlformats.org/officeDocument/2006/relationships/webSettings" Target="webSettings.xml"/><Relationship Id="rId9" Type="http://schemas.openxmlformats.org/officeDocument/2006/relationships/hyperlink" Target="https://ico.org.uk/for-organisations/uk-gdpr-guidance-and-resources/individual-rights/individual-rights/right-to-restrict-process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Generated privacy notice - health and social care | ICO</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health and social care | ICO</dc:title>
  <dc:creator>Hugo Ellerby</dc:creator>
  <cp:lastModifiedBy>emis2000</cp:lastModifiedBy>
  <cp:revision>2</cp:revision>
  <dcterms:created xsi:type="dcterms:W3CDTF">2025-11-20T14:20:00Z</dcterms:created>
  <dcterms:modified xsi:type="dcterms:W3CDTF">2025-11-20T14:20:00Z</dcterms:modified>
</cp:coreProperties>
</file>